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BB" w:rsidRPr="0012553D" w:rsidRDefault="00E417BB" w:rsidP="00E417BB">
      <w:pPr>
        <w:pStyle w:val="1"/>
        <w:spacing w:before="225" w:after="225" w:line="300" w:lineRule="atLeast"/>
        <w:rPr>
          <w:rFonts w:ascii="Tahoma" w:hAnsi="Tahoma" w:cs="Tahoma"/>
          <w:color w:val="000000"/>
          <w:sz w:val="28"/>
          <w:szCs w:val="28"/>
        </w:rPr>
      </w:pPr>
      <w:r w:rsidRPr="0012553D">
        <w:rPr>
          <w:rFonts w:ascii="Tahoma" w:hAnsi="Tahoma" w:cs="Tahoma"/>
          <w:color w:val="000000"/>
          <w:sz w:val="28"/>
          <w:szCs w:val="28"/>
        </w:rPr>
        <w:t>Не стать пособником террористов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noProof/>
          <w:color w:val="000000"/>
          <w:sz w:val="28"/>
          <w:szCs w:val="28"/>
        </w:rPr>
        <w:drawing>
          <wp:inline distT="0" distB="0" distL="0" distR="0">
            <wp:extent cx="180975" cy="85725"/>
            <wp:effectExtent l="19050" t="0" r="9525" b="0"/>
            <wp:docPr id="6" name="Рисунок 6" descr="https://orel-region.ru/antiterror/image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el-region.ru/antiterror/imagese/para.gif"/>
                    <pic:cNvPicPr>
                      <a:picLocks noChangeAspect="1" noChangeArrowheads="1"/>
                    </pic:cNvPicPr>
                  </pic:nvPicPr>
                  <pic:blipFill>
                    <a:blip r:embed="rId6" cstate="print"/>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2553D">
        <w:rPr>
          <w:rFonts w:ascii="Tahoma" w:hAnsi="Tahoma" w:cs="Tahoma"/>
          <w:color w:val="000000"/>
          <w:sz w:val="28"/>
          <w:szCs w:val="28"/>
        </w:rPr>
        <w:t>[</w:t>
      </w:r>
      <w:hyperlink r:id="rId7" w:history="1">
        <w:r w:rsidRPr="0012553D">
          <w:rPr>
            <w:rStyle w:val="a8"/>
            <w:rFonts w:ascii="Tahoma" w:hAnsi="Tahoma" w:cs="Tahoma"/>
            <w:color w:val="3167A9"/>
            <w:sz w:val="28"/>
            <w:szCs w:val="28"/>
          </w:rPr>
          <w:t>загрузить</w:t>
        </w:r>
      </w:hyperlink>
      <w:r w:rsidRPr="0012553D">
        <w:rPr>
          <w:rStyle w:val="apple-converted-space"/>
          <w:color w:val="000000"/>
          <w:sz w:val="28"/>
          <w:szCs w:val="28"/>
        </w:rPr>
        <w:t> </w:t>
      </w:r>
      <w:r w:rsidRPr="0012553D">
        <w:rPr>
          <w:rFonts w:ascii="Tahoma" w:hAnsi="Tahoma" w:cs="Tahoma"/>
          <w:color w:val="000000"/>
          <w:sz w:val="28"/>
          <w:szCs w:val="28"/>
        </w:rPr>
        <w:t>114 KB]</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По информации Национального антитеррористического комитета международными террористическими организациями продолжают предприниматься попытки распространения террористической активности и совершения терактов на территории Российской Федерации, в частности,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 использованием иностранных террористов-боевиков, проникающих в Российскую Федерацию по каналам миграции, а также российских граждан, принимавших участие в вооруженных конфликтах за рубежом.</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на территорию Российской Федерации, как правило, снимают внаём (поднаём) жилые помещения.</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В случае предоставления собственником жилого помещения внаем лицам, осуществляющим террористическую деятельность и/или нарушающим правила пребывания в Российской Федерации, в отношении таких собственников могут проводиться проверочные мероприятия на предмет наличия в их действиях преступлений и/или правонарушений, ответственность за которые предусмотрена Уголовным кодексом Российской Федерации и Кодексом Российской Федерации об административных правонарушениях.</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Справочно:</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В соответствии с частью 3 статьи 205.1 Уголовного кодекса Российской Федерации пособничество в совершении хотя бы одного из преступлений, предусмотренных статьей 205, частью третьей статьи 206, частью первой статьи 208 Уголовного кодекса Российской Федерации, наказывается лишением свободы на срок от десяти до двадцати лет.</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 xml:space="preserve">В соответствии с частью 3 статьи 18.9 Кодекса Российской Федерации об административных правонарушениях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влечет наложение административного штрафа на граждан в размере от двух </w:t>
      </w:r>
      <w:r w:rsidRPr="0012553D">
        <w:rPr>
          <w:rFonts w:ascii="Tahoma" w:hAnsi="Tahoma" w:cs="Tahoma"/>
          <w:color w:val="000000"/>
          <w:sz w:val="28"/>
          <w:szCs w:val="28"/>
        </w:rPr>
        <w:lastRenderedPageBreak/>
        <w:t>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Помимо опасности разместить у себя в квартире (доме) террористов, незаконных мигрантов собственник также подвергает себя следующим рискам:</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Порча движимого и недвижимого имущества. Если жилье сдавалось без соответствующего договора, потом очень трудно доказать, что из квартиры исчезли какие-либо техника или мебель, что они повреждены, что нарушена конструктивные элементы или внутренняя отделка.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Неожиданные расходы, связанные с долгами за коммунальные услуг, оставленными после себя нанимателями, в том числе счета за телефонную связь, например, если наниматель решит пообщаться с кем-нибудь живущим на другом конце света.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Обман со стороны нанимателя. Известны случаи, например, когда снимал жилье один человек, а в квартире оказывались совсем другие люди, которые составили договор уже с нанимателем, без согласия на то собственника, когда в квартире открывали бордель, организовывали притон или заселяли туда группу приехавших на заработки граждан соседних стран (под одной крышей могут проживать до 20 человек).</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При возникновении любых непредвиденных обстоятельств Вам будет легче отстаивать свои права в случае соблюдения Вами требований действующего законодательства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Статьей 30 Жилищного кодекса Российской Федерации предусмотрено право собственника жилого помещения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и Жилищным кодексом Российской Федерации (основные нормы, касающиеся соответствующих договоров, изложены в главах 34 – 36 Гражданского кодекса Российской Федерации и ст. 288 Жилищного кодекса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Не следует забывать, что согласно статье 57 Конституции Российской Федерации каждый обязан платить законно установленные налоги и сборы.</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Согласно статье 207 Налогового кодекса Российской Федерации 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lastRenderedPageBreak/>
        <w:t>При этом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В соответствии со статьей 209 Налогового кодекса Российской Федерации объектом налогообложения признается доход, полученный налогоплательщиками (физическими лицам, являющимися налоговыми резидентами Российской Федерации) от источников в Российской Федерации и (или) от источников за пределами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Согласно статье 208 Налогового кодекса Российской Федерации доходы, полученные от сдачи в аренду или иного использования имущества, находящегося в Российской Федерации относятся к доходам от источников в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Обязанности налогоплательщиков отражены в статье 23 Налогового кодекса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Налогоплательщики обязаны:</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1) уплачивать законно установленные налоги;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2) встать на учет в налоговых органах, если такая обязанность предусмотрена Налоговым кодексом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w:t>
      </w:r>
      <w:r w:rsidRPr="0012553D">
        <w:rPr>
          <w:rFonts w:ascii="Tahoma" w:hAnsi="Tahoma" w:cs="Tahoma"/>
          <w:color w:val="000000"/>
          <w:sz w:val="28"/>
          <w:szCs w:val="28"/>
        </w:rPr>
        <w:lastRenderedPageBreak/>
        <w:t>отчетные (налоговые) периоды календарного года не возникало обязанности по уплате налогов и сборов;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9) нести иные обязанности, предусмотренные законодательством о налогах и сборах.</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За невыполнение требований законодательства Российской Федерации о налогах и сборах предусмотрена административная и уголовная ответственность.</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Справочно:</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Налоговый кодекс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lastRenderedPageBreak/>
        <w:t>Статья 122. Неуплата или неполная уплата сумм налога (сбора, страховых взносов)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влечет взыскание штрафа в размере 20 процентов от неуплаченной суммы налога (сбора, страховых взносов).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2. Утратил силу с 1 января 2004 года.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Уголовный кодекс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 xml:space="preserve">2. То же деяние, совершенное в особо крупном размере, - наказывается штрафом в размере от двухсот тысяч до пятисот тысяч рублей или в размере заработной </w:t>
      </w:r>
      <w:r w:rsidRPr="0012553D">
        <w:rPr>
          <w:rFonts w:ascii="Tahoma" w:hAnsi="Tahoma" w:cs="Tahoma"/>
          <w:color w:val="000000"/>
          <w:sz w:val="28"/>
          <w:szCs w:val="28"/>
        </w:rPr>
        <w:lastRenderedPageBreak/>
        <w:t>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E417BB" w:rsidRPr="0012553D" w:rsidRDefault="00E417BB" w:rsidP="00E417BB">
      <w:pPr>
        <w:pStyle w:val="a6"/>
        <w:spacing w:before="150" w:beforeAutospacing="0" w:after="150" w:afterAutospacing="0"/>
        <w:jc w:val="both"/>
        <w:rPr>
          <w:rFonts w:ascii="Tahoma" w:hAnsi="Tahoma" w:cs="Tahoma"/>
          <w:color w:val="000000"/>
          <w:sz w:val="28"/>
          <w:szCs w:val="28"/>
        </w:rPr>
      </w:pPr>
      <w:r w:rsidRPr="0012553D">
        <w:rPr>
          <w:rFonts w:ascii="Tahoma" w:hAnsi="Tahoma" w:cs="Tahoma"/>
          <w:color w:val="000000"/>
          <w:sz w:val="28"/>
          <w:szCs w:val="28"/>
        </w:rPr>
        <w:t>По вопросам порядка уплаты соответствующих налогов собственникам жилья следует обращаться в инспекцию Федеральной налоговой службы Российской Федерации по месту регистрации.</w:t>
      </w:r>
    </w:p>
    <w:p w:rsidR="00E417BB" w:rsidRPr="00E417BB" w:rsidRDefault="00E417BB" w:rsidP="00E417BB">
      <w:pPr>
        <w:spacing w:before="100" w:beforeAutospacing="1" w:after="100" w:afterAutospacing="1"/>
        <w:ind w:left="720"/>
        <w:jc w:val="both"/>
        <w:rPr>
          <w:rFonts w:ascii="Tahoma" w:hAnsi="Tahoma" w:cs="Tahoma"/>
          <w:color w:val="000000"/>
          <w:sz w:val="18"/>
          <w:szCs w:val="18"/>
        </w:rPr>
      </w:pPr>
    </w:p>
    <w:p w:rsidR="003C65BB" w:rsidRDefault="003C65BB" w:rsidP="003C65BB">
      <w:pPr>
        <w:pStyle w:val="a6"/>
        <w:spacing w:before="150" w:beforeAutospacing="0" w:after="150" w:afterAutospacing="0"/>
        <w:jc w:val="both"/>
        <w:rPr>
          <w:rFonts w:ascii="Tahoma" w:hAnsi="Tahoma" w:cs="Tahoma"/>
          <w:color w:val="000000"/>
          <w:sz w:val="18"/>
          <w:szCs w:val="18"/>
        </w:rPr>
      </w:pPr>
    </w:p>
    <w:p w:rsidR="00673983" w:rsidRDefault="00673983" w:rsidP="00673983">
      <w:pPr>
        <w:shd w:val="clear" w:color="auto" w:fill="FFFFFF"/>
        <w:spacing w:line="480" w:lineRule="auto"/>
        <w:rPr>
          <w:rFonts w:ascii="Tahoma" w:hAnsi="Tahoma" w:cs="Tahoma"/>
          <w:color w:val="555555"/>
          <w:sz w:val="18"/>
          <w:szCs w:val="18"/>
        </w:rPr>
      </w:pPr>
    </w:p>
    <w:sectPr w:rsidR="00673983" w:rsidSect="00916A8F">
      <w:pgSz w:w="11906" w:h="16838"/>
      <w:pgMar w:top="1134" w:right="849"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01D"/>
    <w:multiLevelType w:val="multilevel"/>
    <w:tmpl w:val="4AE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9F1"/>
    <w:multiLevelType w:val="multilevel"/>
    <w:tmpl w:val="D68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C460C"/>
    <w:multiLevelType w:val="multilevel"/>
    <w:tmpl w:val="10D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B6C"/>
    <w:multiLevelType w:val="multilevel"/>
    <w:tmpl w:val="CC1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A1428"/>
    <w:multiLevelType w:val="multilevel"/>
    <w:tmpl w:val="D45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92596"/>
    <w:multiLevelType w:val="multilevel"/>
    <w:tmpl w:val="6A1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A49EA"/>
    <w:multiLevelType w:val="multilevel"/>
    <w:tmpl w:val="CE6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E76D7"/>
    <w:multiLevelType w:val="multilevel"/>
    <w:tmpl w:val="CA0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733AD"/>
    <w:multiLevelType w:val="multilevel"/>
    <w:tmpl w:val="472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04EB3"/>
    <w:multiLevelType w:val="multilevel"/>
    <w:tmpl w:val="FB24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B7B6C"/>
    <w:multiLevelType w:val="multilevel"/>
    <w:tmpl w:val="6C8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14806"/>
    <w:multiLevelType w:val="multilevel"/>
    <w:tmpl w:val="8D9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D3068"/>
    <w:multiLevelType w:val="multilevel"/>
    <w:tmpl w:val="72F8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B004A6A"/>
    <w:multiLevelType w:val="multilevel"/>
    <w:tmpl w:val="FB88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A33BC"/>
    <w:multiLevelType w:val="multilevel"/>
    <w:tmpl w:val="D98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D69CB"/>
    <w:multiLevelType w:val="multilevel"/>
    <w:tmpl w:val="B7C4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D0A03"/>
    <w:multiLevelType w:val="multilevel"/>
    <w:tmpl w:val="AB8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46FEB"/>
    <w:multiLevelType w:val="multilevel"/>
    <w:tmpl w:val="9F9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97ED2"/>
    <w:multiLevelType w:val="multilevel"/>
    <w:tmpl w:val="2202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9140E"/>
    <w:multiLevelType w:val="multilevel"/>
    <w:tmpl w:val="0FD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239CC"/>
    <w:multiLevelType w:val="multilevel"/>
    <w:tmpl w:val="E92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0"/>
  </w:num>
  <w:num w:numId="4">
    <w:abstractNumId w:val="11"/>
  </w:num>
  <w:num w:numId="5">
    <w:abstractNumId w:val="3"/>
  </w:num>
  <w:num w:numId="6">
    <w:abstractNumId w:val="8"/>
  </w:num>
  <w:num w:numId="7">
    <w:abstractNumId w:val="12"/>
  </w:num>
  <w:num w:numId="8">
    <w:abstractNumId w:val="19"/>
  </w:num>
  <w:num w:numId="9">
    <w:abstractNumId w:val="21"/>
  </w:num>
  <w:num w:numId="10">
    <w:abstractNumId w:val="0"/>
  </w:num>
  <w:num w:numId="11">
    <w:abstractNumId w:val="1"/>
  </w:num>
  <w:num w:numId="12">
    <w:abstractNumId w:val="4"/>
  </w:num>
  <w:num w:numId="13">
    <w:abstractNumId w:val="16"/>
  </w:num>
  <w:num w:numId="14">
    <w:abstractNumId w:val="5"/>
  </w:num>
  <w:num w:numId="15">
    <w:abstractNumId w:val="15"/>
  </w:num>
  <w:num w:numId="16">
    <w:abstractNumId w:val="2"/>
  </w:num>
  <w:num w:numId="17">
    <w:abstractNumId w:val="10"/>
  </w:num>
  <w:num w:numId="18">
    <w:abstractNumId w:val="18"/>
  </w:num>
  <w:num w:numId="19">
    <w:abstractNumId w:val="6"/>
  </w:num>
  <w:num w:numId="20">
    <w:abstractNumId w:val="14"/>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70361"/>
    <w:rsid w:val="000A668D"/>
    <w:rsid w:val="000C09E3"/>
    <w:rsid w:val="000D4899"/>
    <w:rsid w:val="00124D8E"/>
    <w:rsid w:val="0012553D"/>
    <w:rsid w:val="00140AF9"/>
    <w:rsid w:val="001B1785"/>
    <w:rsid w:val="001D473A"/>
    <w:rsid w:val="0021314D"/>
    <w:rsid w:val="00276564"/>
    <w:rsid w:val="002C7A5D"/>
    <w:rsid w:val="003A0509"/>
    <w:rsid w:val="003C65BB"/>
    <w:rsid w:val="003D6C60"/>
    <w:rsid w:val="00420F2C"/>
    <w:rsid w:val="00510AF9"/>
    <w:rsid w:val="00560014"/>
    <w:rsid w:val="00596641"/>
    <w:rsid w:val="005F0A99"/>
    <w:rsid w:val="00673983"/>
    <w:rsid w:val="00712004"/>
    <w:rsid w:val="007E647A"/>
    <w:rsid w:val="007F356D"/>
    <w:rsid w:val="00810CD4"/>
    <w:rsid w:val="008F3E4B"/>
    <w:rsid w:val="00916A8F"/>
    <w:rsid w:val="009C1179"/>
    <w:rsid w:val="00AF49B0"/>
    <w:rsid w:val="00B007D9"/>
    <w:rsid w:val="00B200D2"/>
    <w:rsid w:val="00B326A4"/>
    <w:rsid w:val="00B34ED9"/>
    <w:rsid w:val="00C93731"/>
    <w:rsid w:val="00CD15C7"/>
    <w:rsid w:val="00D26924"/>
    <w:rsid w:val="00DA504C"/>
    <w:rsid w:val="00E417BB"/>
    <w:rsid w:val="00E52A32"/>
    <w:rsid w:val="00EE13D6"/>
    <w:rsid w:val="00F1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67398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983"/>
    <w:rPr>
      <w:rFonts w:ascii="Arial" w:eastAsia="Times New Roman" w:hAnsi="Arial" w:cs="Arial"/>
      <w:vanish/>
      <w:sz w:val="16"/>
      <w:szCs w:val="16"/>
      <w:lang w:eastAsia="ru-RU"/>
    </w:rPr>
  </w:style>
  <w:style w:type="character" w:customStyle="1" w:styleId="apple-converted-space">
    <w:name w:val="apple-converted-space"/>
    <w:basedOn w:val="a0"/>
    <w:rsid w:val="00673983"/>
  </w:style>
  <w:style w:type="paragraph" w:styleId="z-1">
    <w:name w:val="HTML Bottom of Form"/>
    <w:basedOn w:val="a"/>
    <w:next w:val="a"/>
    <w:link w:val="z-2"/>
    <w:hidden/>
    <w:uiPriority w:val="99"/>
    <w:semiHidden/>
    <w:unhideWhenUsed/>
    <w:rsid w:val="0067398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3983"/>
    <w:rPr>
      <w:rFonts w:ascii="Arial" w:eastAsia="Times New Roman" w:hAnsi="Arial" w:cs="Arial"/>
      <w:vanish/>
      <w:sz w:val="16"/>
      <w:szCs w:val="16"/>
      <w:lang w:eastAsia="ru-RU"/>
    </w:rPr>
  </w:style>
  <w:style w:type="paragraph" w:customStyle="1" w:styleId="z1">
    <w:name w:val="z1"/>
    <w:basedOn w:val="a"/>
    <w:rsid w:val="003C65B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612874">
      <w:bodyDiv w:val="1"/>
      <w:marLeft w:val="0"/>
      <w:marRight w:val="0"/>
      <w:marTop w:val="0"/>
      <w:marBottom w:val="0"/>
      <w:divBdr>
        <w:top w:val="none" w:sz="0" w:space="0" w:color="auto"/>
        <w:left w:val="none" w:sz="0" w:space="0" w:color="auto"/>
        <w:bottom w:val="none" w:sz="0" w:space="0" w:color="auto"/>
        <w:right w:val="none" w:sz="0" w:space="0" w:color="auto"/>
      </w:divBdr>
    </w:div>
    <w:div w:id="263417977">
      <w:bodyDiv w:val="1"/>
      <w:marLeft w:val="0"/>
      <w:marRight w:val="0"/>
      <w:marTop w:val="0"/>
      <w:marBottom w:val="0"/>
      <w:divBdr>
        <w:top w:val="none" w:sz="0" w:space="0" w:color="auto"/>
        <w:left w:val="none" w:sz="0" w:space="0" w:color="auto"/>
        <w:bottom w:val="none" w:sz="0" w:space="0" w:color="auto"/>
        <w:right w:val="none" w:sz="0" w:space="0" w:color="auto"/>
      </w:divBdr>
    </w:div>
    <w:div w:id="285698659">
      <w:bodyDiv w:val="1"/>
      <w:marLeft w:val="0"/>
      <w:marRight w:val="0"/>
      <w:marTop w:val="0"/>
      <w:marBottom w:val="0"/>
      <w:divBdr>
        <w:top w:val="none" w:sz="0" w:space="0" w:color="auto"/>
        <w:left w:val="none" w:sz="0" w:space="0" w:color="auto"/>
        <w:bottom w:val="none" w:sz="0" w:space="0" w:color="auto"/>
        <w:right w:val="none" w:sz="0" w:space="0" w:color="auto"/>
      </w:divBdr>
    </w:div>
    <w:div w:id="380372661">
      <w:bodyDiv w:val="1"/>
      <w:marLeft w:val="0"/>
      <w:marRight w:val="0"/>
      <w:marTop w:val="0"/>
      <w:marBottom w:val="0"/>
      <w:divBdr>
        <w:top w:val="none" w:sz="0" w:space="0" w:color="auto"/>
        <w:left w:val="none" w:sz="0" w:space="0" w:color="auto"/>
        <w:bottom w:val="none" w:sz="0" w:space="0" w:color="auto"/>
        <w:right w:val="none" w:sz="0" w:space="0" w:color="auto"/>
      </w:divBdr>
    </w:div>
    <w:div w:id="471950670">
      <w:bodyDiv w:val="1"/>
      <w:marLeft w:val="0"/>
      <w:marRight w:val="0"/>
      <w:marTop w:val="0"/>
      <w:marBottom w:val="0"/>
      <w:divBdr>
        <w:top w:val="none" w:sz="0" w:space="0" w:color="auto"/>
        <w:left w:val="none" w:sz="0" w:space="0" w:color="auto"/>
        <w:bottom w:val="none" w:sz="0" w:space="0" w:color="auto"/>
        <w:right w:val="none" w:sz="0" w:space="0" w:color="auto"/>
      </w:divBdr>
    </w:div>
    <w:div w:id="520900976">
      <w:bodyDiv w:val="1"/>
      <w:marLeft w:val="0"/>
      <w:marRight w:val="0"/>
      <w:marTop w:val="0"/>
      <w:marBottom w:val="0"/>
      <w:divBdr>
        <w:top w:val="none" w:sz="0" w:space="0" w:color="auto"/>
        <w:left w:val="none" w:sz="0" w:space="0" w:color="auto"/>
        <w:bottom w:val="none" w:sz="0" w:space="0" w:color="auto"/>
        <w:right w:val="none" w:sz="0" w:space="0" w:color="auto"/>
      </w:divBdr>
    </w:div>
    <w:div w:id="768622530">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048071177">
      <w:bodyDiv w:val="1"/>
      <w:marLeft w:val="0"/>
      <w:marRight w:val="0"/>
      <w:marTop w:val="0"/>
      <w:marBottom w:val="0"/>
      <w:divBdr>
        <w:top w:val="none" w:sz="0" w:space="0" w:color="auto"/>
        <w:left w:val="none" w:sz="0" w:space="0" w:color="auto"/>
        <w:bottom w:val="none" w:sz="0" w:space="0" w:color="auto"/>
        <w:right w:val="none" w:sz="0" w:space="0" w:color="auto"/>
      </w:divBdr>
    </w:div>
    <w:div w:id="1095126804">
      <w:bodyDiv w:val="1"/>
      <w:marLeft w:val="0"/>
      <w:marRight w:val="0"/>
      <w:marTop w:val="0"/>
      <w:marBottom w:val="0"/>
      <w:divBdr>
        <w:top w:val="none" w:sz="0" w:space="0" w:color="auto"/>
        <w:left w:val="none" w:sz="0" w:space="0" w:color="auto"/>
        <w:bottom w:val="none" w:sz="0" w:space="0" w:color="auto"/>
        <w:right w:val="none" w:sz="0" w:space="0" w:color="auto"/>
      </w:divBdr>
    </w:div>
    <w:div w:id="1210606223">
      <w:bodyDiv w:val="1"/>
      <w:marLeft w:val="0"/>
      <w:marRight w:val="0"/>
      <w:marTop w:val="0"/>
      <w:marBottom w:val="0"/>
      <w:divBdr>
        <w:top w:val="none" w:sz="0" w:space="0" w:color="auto"/>
        <w:left w:val="none" w:sz="0" w:space="0" w:color="auto"/>
        <w:bottom w:val="none" w:sz="0" w:space="0" w:color="auto"/>
        <w:right w:val="none" w:sz="0" w:space="0" w:color="auto"/>
      </w:divBdr>
    </w:div>
    <w:div w:id="1267883432">
      <w:bodyDiv w:val="1"/>
      <w:marLeft w:val="0"/>
      <w:marRight w:val="0"/>
      <w:marTop w:val="0"/>
      <w:marBottom w:val="0"/>
      <w:divBdr>
        <w:top w:val="none" w:sz="0" w:space="0" w:color="auto"/>
        <w:left w:val="none" w:sz="0" w:space="0" w:color="auto"/>
        <w:bottom w:val="none" w:sz="0" w:space="0" w:color="auto"/>
        <w:right w:val="none" w:sz="0" w:space="0" w:color="auto"/>
      </w:divBdr>
    </w:div>
    <w:div w:id="1275480075">
      <w:bodyDiv w:val="1"/>
      <w:marLeft w:val="0"/>
      <w:marRight w:val="0"/>
      <w:marTop w:val="0"/>
      <w:marBottom w:val="0"/>
      <w:divBdr>
        <w:top w:val="none" w:sz="0" w:space="0" w:color="auto"/>
        <w:left w:val="none" w:sz="0" w:space="0" w:color="auto"/>
        <w:bottom w:val="none" w:sz="0" w:space="0" w:color="auto"/>
        <w:right w:val="none" w:sz="0" w:space="0" w:color="auto"/>
      </w:divBdr>
    </w:div>
    <w:div w:id="1383865499">
      <w:bodyDiv w:val="1"/>
      <w:marLeft w:val="0"/>
      <w:marRight w:val="0"/>
      <w:marTop w:val="0"/>
      <w:marBottom w:val="0"/>
      <w:divBdr>
        <w:top w:val="none" w:sz="0" w:space="0" w:color="auto"/>
        <w:left w:val="none" w:sz="0" w:space="0" w:color="auto"/>
        <w:bottom w:val="none" w:sz="0" w:space="0" w:color="auto"/>
        <w:right w:val="none" w:sz="0" w:space="0" w:color="auto"/>
      </w:divBdr>
    </w:div>
    <w:div w:id="1412387155">
      <w:bodyDiv w:val="1"/>
      <w:marLeft w:val="0"/>
      <w:marRight w:val="0"/>
      <w:marTop w:val="0"/>
      <w:marBottom w:val="0"/>
      <w:divBdr>
        <w:top w:val="none" w:sz="0" w:space="0" w:color="auto"/>
        <w:left w:val="none" w:sz="0" w:space="0" w:color="auto"/>
        <w:bottom w:val="none" w:sz="0" w:space="0" w:color="auto"/>
        <w:right w:val="none" w:sz="0" w:space="0" w:color="auto"/>
      </w:divBdr>
    </w:div>
    <w:div w:id="1643001536">
      <w:bodyDiv w:val="1"/>
      <w:marLeft w:val="0"/>
      <w:marRight w:val="0"/>
      <w:marTop w:val="0"/>
      <w:marBottom w:val="0"/>
      <w:divBdr>
        <w:top w:val="none" w:sz="0" w:space="0" w:color="auto"/>
        <w:left w:val="none" w:sz="0" w:space="0" w:color="auto"/>
        <w:bottom w:val="none" w:sz="0" w:space="0" w:color="auto"/>
        <w:right w:val="none" w:sz="0" w:space="0" w:color="auto"/>
      </w:divBdr>
    </w:div>
    <w:div w:id="1668363292">
      <w:bodyDiv w:val="1"/>
      <w:marLeft w:val="0"/>
      <w:marRight w:val="0"/>
      <w:marTop w:val="0"/>
      <w:marBottom w:val="0"/>
      <w:divBdr>
        <w:top w:val="none" w:sz="0" w:space="0" w:color="auto"/>
        <w:left w:val="none" w:sz="0" w:space="0" w:color="auto"/>
        <w:bottom w:val="none" w:sz="0" w:space="0" w:color="auto"/>
        <w:right w:val="none" w:sz="0" w:space="0" w:color="auto"/>
      </w:divBdr>
    </w:div>
    <w:div w:id="1773167070">
      <w:bodyDiv w:val="1"/>
      <w:marLeft w:val="0"/>
      <w:marRight w:val="0"/>
      <w:marTop w:val="0"/>
      <w:marBottom w:val="0"/>
      <w:divBdr>
        <w:top w:val="none" w:sz="0" w:space="0" w:color="auto"/>
        <w:left w:val="none" w:sz="0" w:space="0" w:color="auto"/>
        <w:bottom w:val="none" w:sz="0" w:space="0" w:color="auto"/>
        <w:right w:val="none" w:sz="0" w:space="0" w:color="auto"/>
      </w:divBdr>
    </w:div>
    <w:div w:id="1817598801">
      <w:bodyDiv w:val="1"/>
      <w:marLeft w:val="0"/>
      <w:marRight w:val="0"/>
      <w:marTop w:val="0"/>
      <w:marBottom w:val="0"/>
      <w:divBdr>
        <w:top w:val="none" w:sz="0" w:space="0" w:color="auto"/>
        <w:left w:val="none" w:sz="0" w:space="0" w:color="auto"/>
        <w:bottom w:val="none" w:sz="0" w:space="0" w:color="auto"/>
        <w:right w:val="none" w:sz="0" w:space="0" w:color="auto"/>
      </w:divBdr>
    </w:div>
    <w:div w:id="1901213343">
      <w:bodyDiv w:val="1"/>
      <w:marLeft w:val="0"/>
      <w:marRight w:val="0"/>
      <w:marTop w:val="0"/>
      <w:marBottom w:val="0"/>
      <w:divBdr>
        <w:top w:val="none" w:sz="0" w:space="0" w:color="auto"/>
        <w:left w:val="none" w:sz="0" w:space="0" w:color="auto"/>
        <w:bottom w:val="none" w:sz="0" w:space="0" w:color="auto"/>
        <w:right w:val="none" w:sz="0" w:space="0" w:color="auto"/>
      </w:divBdr>
    </w:div>
    <w:div w:id="1913467032">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2027948716">
      <w:bodyDiv w:val="1"/>
      <w:marLeft w:val="0"/>
      <w:marRight w:val="0"/>
      <w:marTop w:val="0"/>
      <w:marBottom w:val="0"/>
      <w:divBdr>
        <w:top w:val="none" w:sz="0" w:space="0" w:color="auto"/>
        <w:left w:val="none" w:sz="0" w:space="0" w:color="auto"/>
        <w:bottom w:val="none" w:sz="0" w:space="0" w:color="auto"/>
        <w:right w:val="none" w:sz="0" w:space="0" w:color="auto"/>
      </w:divBdr>
      <w:divsChild>
        <w:div w:id="1890922811">
          <w:marLeft w:val="-3600"/>
          <w:marRight w:val="0"/>
          <w:marTop w:val="150"/>
          <w:marBottom w:val="0"/>
          <w:divBdr>
            <w:top w:val="none" w:sz="0" w:space="0" w:color="auto"/>
            <w:left w:val="none" w:sz="0" w:space="0" w:color="auto"/>
            <w:bottom w:val="none" w:sz="0" w:space="0" w:color="auto"/>
            <w:right w:val="single" w:sz="6" w:space="0" w:color="999999"/>
          </w:divBdr>
          <w:divsChild>
            <w:div w:id="1828742327">
              <w:marLeft w:val="3600"/>
              <w:marRight w:val="0"/>
              <w:marTop w:val="0"/>
              <w:marBottom w:val="0"/>
              <w:divBdr>
                <w:top w:val="none" w:sz="0" w:space="0" w:color="auto"/>
                <w:left w:val="none" w:sz="0" w:space="0" w:color="auto"/>
                <w:bottom w:val="none" w:sz="0" w:space="0" w:color="auto"/>
                <w:right w:val="none" w:sz="0" w:space="0" w:color="auto"/>
              </w:divBdr>
              <w:divsChild>
                <w:div w:id="847139115">
                  <w:marLeft w:val="0"/>
                  <w:marRight w:val="0"/>
                  <w:marTop w:val="0"/>
                  <w:marBottom w:val="0"/>
                  <w:divBdr>
                    <w:top w:val="none" w:sz="0" w:space="0" w:color="auto"/>
                    <w:left w:val="none" w:sz="0" w:space="0" w:color="auto"/>
                    <w:bottom w:val="none" w:sz="0" w:space="0" w:color="auto"/>
                    <w:right w:val="none" w:sz="0" w:space="0" w:color="auto"/>
                  </w:divBdr>
                  <w:divsChild>
                    <w:div w:id="100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471">
          <w:marLeft w:val="0"/>
          <w:marRight w:val="0"/>
          <w:marTop w:val="150"/>
          <w:marBottom w:val="0"/>
          <w:divBdr>
            <w:top w:val="none" w:sz="0" w:space="0" w:color="auto"/>
            <w:left w:val="none" w:sz="0" w:space="0" w:color="auto"/>
            <w:bottom w:val="none" w:sz="0" w:space="0" w:color="auto"/>
            <w:right w:val="none" w:sz="0" w:space="0" w:color="auto"/>
          </w:divBdr>
          <w:divsChild>
            <w:div w:id="1273364489">
              <w:marLeft w:val="0"/>
              <w:marRight w:val="0"/>
              <w:marTop w:val="0"/>
              <w:marBottom w:val="180"/>
              <w:divBdr>
                <w:top w:val="none" w:sz="0" w:space="0" w:color="auto"/>
                <w:left w:val="none" w:sz="0" w:space="0" w:color="auto"/>
                <w:bottom w:val="none" w:sz="0" w:space="0" w:color="auto"/>
                <w:right w:val="none" w:sz="0" w:space="0" w:color="auto"/>
              </w:divBdr>
            </w:div>
            <w:div w:id="1508015611">
              <w:marLeft w:val="0"/>
              <w:marRight w:val="0"/>
              <w:marTop w:val="75"/>
              <w:marBottom w:val="75"/>
              <w:divBdr>
                <w:top w:val="none" w:sz="0" w:space="0" w:color="auto"/>
                <w:left w:val="none" w:sz="0" w:space="0" w:color="auto"/>
                <w:bottom w:val="none" w:sz="0" w:space="0" w:color="auto"/>
                <w:right w:val="none" w:sz="0" w:space="0" w:color="auto"/>
              </w:divBdr>
            </w:div>
            <w:div w:id="1038505244">
              <w:marLeft w:val="0"/>
              <w:marRight w:val="150"/>
              <w:marTop w:val="0"/>
              <w:marBottom w:val="0"/>
              <w:divBdr>
                <w:top w:val="none" w:sz="0" w:space="0" w:color="auto"/>
                <w:left w:val="none" w:sz="0" w:space="0" w:color="auto"/>
                <w:bottom w:val="none" w:sz="0" w:space="0" w:color="auto"/>
                <w:right w:val="none" w:sz="0" w:space="0" w:color="auto"/>
              </w:divBdr>
            </w:div>
            <w:div w:id="1651061622">
              <w:marLeft w:val="0"/>
              <w:marRight w:val="0"/>
              <w:marTop w:val="0"/>
              <w:marBottom w:val="0"/>
              <w:divBdr>
                <w:top w:val="none" w:sz="0" w:space="0" w:color="auto"/>
                <w:left w:val="none" w:sz="0" w:space="0" w:color="auto"/>
                <w:bottom w:val="none" w:sz="0" w:space="0" w:color="auto"/>
                <w:right w:val="none" w:sz="0" w:space="0" w:color="auto"/>
              </w:divBdr>
            </w:div>
            <w:div w:id="1082871176">
              <w:marLeft w:val="0"/>
              <w:marRight w:val="0"/>
              <w:marTop w:val="0"/>
              <w:marBottom w:val="0"/>
              <w:divBdr>
                <w:top w:val="none" w:sz="0" w:space="0" w:color="auto"/>
                <w:left w:val="none" w:sz="0" w:space="0" w:color="auto"/>
                <w:bottom w:val="none" w:sz="0" w:space="0" w:color="auto"/>
                <w:right w:val="none" w:sz="0" w:space="0" w:color="auto"/>
              </w:divBdr>
              <w:divsChild>
                <w:div w:id="1497761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9255334">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el-region.ru/antiterror/filese/Ne_stat_posobnikom_terroristov.rtf"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8F72-7CB8-4AFC-A419-851B46C1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2081</Words>
  <Characters>11866</Characters>
  <Application>Microsoft Office Word</Application>
  <DocSecurity>0</DocSecurity>
  <Lines>98</Lines>
  <Paragraphs>27</Paragraphs>
  <ScaleCrop>false</ScaleCrop>
  <Company>SPecialiST RePack</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28</cp:revision>
  <cp:lastPrinted>2018-12-14T06:44:00Z</cp:lastPrinted>
  <dcterms:created xsi:type="dcterms:W3CDTF">2018-10-25T08:40:00Z</dcterms:created>
  <dcterms:modified xsi:type="dcterms:W3CDTF">2018-12-21T13:15:00Z</dcterms:modified>
</cp:coreProperties>
</file>