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Уголовная ответственность за неправомерный оборот средств платежей (ст. 187 УК РФ).</w:t>
      </w:r>
    </w:p>
    <w:p w14:paraId="0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Уголовная ответственность за неправомерный оборот средств платежей наступает в случае изготовления, приобретения, хранения, транспортировки в целях использования или сбыта, а равно сбыт поддельных платежных карт, распоряжений о переводе денежных средств, документов или средств оплаты, а также электронных средств, электронных носителей информации, технических устройств, компьютерных программ, предназначенных для неправомерного осуществления приема, выдачи, перевода денежных средств.</w:t>
      </w:r>
    </w:p>
    <w:p w14:paraId="0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Предметом указанного преступления являются поддельные кредитные карты, иные платежные документы, не являющиеся ценными бумагами.</w:t>
      </w:r>
    </w:p>
    <w:p w14:paraId="0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 иными платежными документами, не являющиеся ценными бумагами понимаются, документы на основании которых осуществляются безналичные платежи (расчеты) между физическими и юридическими лицами: платежные поручения, инкассовые поручения, аккредитив, платежный ордер, банковский ордер и платежное требование. При этом, чеки, проездные билеты или квитанции об оплате предметом данного преступления не являются.</w:t>
      </w:r>
    </w:p>
    <w:p w14:paraId="0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 изготовлением поддельных кредитных либо расчетных карт, иных платежных документов, не являющихся ценными бумагами, понимается частичная или полная их подделка (например изменение реквизитов: номера счета, подписи владельца, размера денежной суммы).</w:t>
      </w:r>
    </w:p>
    <w:p w14:paraId="0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Сбытом признается любая форма возмездной или безвозмездной передачи документов третьим лицам (размен, продажа). При этом, использование поддельных кредитных или расчетных карт в качестве средства платежа или получения по ним наличных денег в банкомате не является сбытом.</w:t>
      </w:r>
    </w:p>
    <w:p w14:paraId="0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Сбыт является оконченным, если лицо произвело отчуждение хотя бы одного поддельного документа.</w:t>
      </w: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Изготовление  поддельных</w:t>
      </w:r>
      <w:r>
        <w:rPr>
          <w:rFonts w:ascii="Times New Roman" w:hAnsi="Times New Roman"/>
          <w:sz w:val="28"/>
        </w:rPr>
        <w:t xml:space="preserve"> кредитных или расчетных карт, иных платежных документов, не являющихся ценными бумагами, является оконченным преступлением, если с целью последующего сбыта изготовлен хотя бы один такой документ независимо от того, удалось ли осуществить его сбыт.</w:t>
      </w:r>
    </w:p>
    <w:p w14:paraId="0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Уголовная ответственность наступает если лицо осознает, что совершает изготовление в целях сбыта или сбыт поддельных кредитных либо расчетных карт, иных платежных документов, не являющихся ценными бумагами, и желает этого.</w:t>
      </w:r>
    </w:p>
    <w:p w14:paraId="0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Обязательным признаком преступного деяния является цель, а именно изготовление предметов данного преступления. </w:t>
      </w:r>
      <w:r>
        <w:rPr>
          <w:rFonts w:ascii="Times New Roman" w:hAnsi="Times New Roman"/>
          <w:sz w:val="28"/>
        </w:rPr>
        <w:t>Деяния</w:t>
      </w:r>
      <w:r>
        <w:rPr>
          <w:rFonts w:ascii="Times New Roman" w:hAnsi="Times New Roman"/>
          <w:sz w:val="28"/>
        </w:rPr>
        <w:t xml:space="preserve"> совершенные без цели сбыта не являются уголовно наказуемыми.</w:t>
      </w:r>
    </w:p>
    <w:p w14:paraId="0B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Субъектом преступления является вменяемое физическое лицо, достигшее возраста 16 лет.</w:t>
      </w:r>
    </w:p>
    <w:p w14:paraId="0C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Квалифицирующим признаком рассматриваемого преступления признается неправомерный оборот средств </w:t>
      </w:r>
      <w:r>
        <w:rPr>
          <w:rFonts w:ascii="Times New Roman" w:hAnsi="Times New Roman"/>
          <w:sz w:val="28"/>
        </w:rPr>
        <w:t>платежей,совершенный</w:t>
      </w:r>
      <w:r>
        <w:rPr>
          <w:rFonts w:ascii="Times New Roman" w:hAnsi="Times New Roman"/>
          <w:sz w:val="28"/>
        </w:rPr>
        <w:t xml:space="preserve"> в составе организованной </w:t>
      </w:r>
      <w:r>
        <w:rPr>
          <w:rFonts w:ascii="Times New Roman" w:hAnsi="Times New Roman"/>
          <w:sz w:val="28"/>
        </w:rPr>
        <w:t>группы.Как</w:t>
      </w:r>
      <w:r>
        <w:rPr>
          <w:rFonts w:ascii="Times New Roman" w:hAnsi="Times New Roman"/>
          <w:sz w:val="28"/>
        </w:rPr>
        <w:t xml:space="preserve"> правило, такого рода преступления выполняют дополнительную функцию и являются одним из этапов совершения других преступлений, в частности хищений в банковской сфере.</w:t>
      </w:r>
    </w:p>
    <w:p w14:paraId="0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для совершения преступления виновный проникает в локальную компьютерную сеть банка, использует при этом вредоносные программы, пароли, логины и иную конфиденциальную информацию, модифицирует ее, тем самым блокирует работу банковских компьютеров, то действия виновного подлежат квалификации по совокупности с компьютерными преступлениями.</w:t>
      </w:r>
    </w:p>
    <w:p w14:paraId="0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пристального внимания заслуживают выявления фактов открытия номинальными руководителями за денежное вознаграждение фирм-однодневок и расчетных счетов на формально возглавляемые ими организации, а также передачи неустановленным лицам электронных средств, предназначенных для доступа к этим расчетным счетам, что позволяет злоумышленникам осуществлять прием, выдачу и перевод денежных средств в рамках применяемых форм безналичных расчетов.</w:t>
      </w:r>
    </w:p>
    <w:p w14:paraId="0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совершение указанного преступления, которое относится к категории тяжких, предусмотрено наказание в виде лишения свободы на срок до 6 лет со штрафом в размере от ста тысяч до трехсот тысяч рублей.</w:t>
      </w:r>
    </w:p>
    <w:p w14:paraId="1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рассматриваемое преступление совершено организованной группой лиц, то УК РФ предусмотрено более строгое наказание в виде лишения свободы сроком до 7 лет со штрафом до 1 миллиона рублей.</w:t>
      </w:r>
    </w:p>
    <w:p w14:paraId="11000000">
      <w:pPr>
        <w:rPr>
          <w:rFonts w:ascii="Times New Roman" w:hAnsi="Times New Roman"/>
          <w:sz w:val="28"/>
        </w:rPr>
      </w:pPr>
    </w:p>
    <w:p w14:paraId="12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Прокуратура Верховского района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1"/>
    <w:next w:val="Style_1"/>
    <w:link w:val="Style_5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5_ch" w:type="character">
    <w:name w:val="heading 7"/>
    <w:basedOn w:val="Style_1_ch"/>
    <w:link w:val="Style_5"/>
    <w:rPr>
      <w:color w:themeColor="text1" w:themeTint="A6" w:val="595959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1"/>
    <w:next w:val="Style_1"/>
    <w:link w:val="Style_9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9_ch" w:type="character">
    <w:name w:val="heading 3"/>
    <w:basedOn w:val="Style_1_ch"/>
    <w:link w:val="Style_9"/>
    <w:rPr>
      <w:color w:themeColor="accent1" w:themeShade="BF" w:val="2F5496"/>
      <w:sz w:val="28"/>
    </w:rPr>
  </w:style>
  <w:style w:styleId="Style_10" w:type="paragraph">
    <w:name w:val="Quote"/>
    <w:basedOn w:val="Style_1"/>
    <w:next w:val="Style_1"/>
    <w:link w:val="Style_10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0_ch" w:type="character">
    <w:name w:val="Quote"/>
    <w:basedOn w:val="Style_1_ch"/>
    <w:link w:val="Style_10"/>
    <w:rPr>
      <w:i w:val="1"/>
      <w:color w:themeColor="text1" w:themeTint="BF" w:val="404040"/>
    </w:rPr>
  </w:style>
  <w:style w:styleId="Style_11" w:type="paragraph">
    <w:name w:val="heading 9"/>
    <w:basedOn w:val="Style_1"/>
    <w:next w:val="Style_1"/>
    <w:link w:val="Style_11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1_ch"/>
    <w:link w:val="Style_11"/>
    <w:rPr>
      <w:color w:themeColor="text1" w:themeTint="D8" w:val="272727"/>
    </w:rPr>
  </w:style>
  <w:style w:styleId="Style_12" w:type="paragraph">
    <w:name w:val="List Paragraph"/>
    <w:basedOn w:val="Style_1"/>
    <w:link w:val="Style_12_ch"/>
    <w:pPr>
      <w:widowControl w:val="1"/>
      <w:ind w:left="720"/>
      <w:contextualSpacing w:val="1"/>
    </w:pPr>
  </w:style>
  <w:style w:styleId="Style_12_ch" w:type="character">
    <w:name w:val="List Paragraph"/>
    <w:basedOn w:val="Style_1_ch"/>
    <w:link w:val="Style_12"/>
  </w:style>
  <w:style w:styleId="Style_13" w:type="paragraph">
    <w:name w:val="Intense Quote"/>
    <w:basedOn w:val="Style_1"/>
    <w:next w:val="Style_1"/>
    <w:link w:val="Style_13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3_ch" w:type="character">
    <w:name w:val="Intense Quote"/>
    <w:basedOn w:val="Style_1_ch"/>
    <w:link w:val="Style_13"/>
    <w:rPr>
      <w:i w:val="1"/>
      <w:color w:themeColor="accent1" w:themeShade="BF" w:val="2F5496"/>
    </w:rPr>
  </w:style>
  <w:style w:styleId="Style_14" w:type="paragraph">
    <w:name w:val="toc 3"/>
    <w:next w:val="Style_1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5_ch" w:type="character">
    <w:name w:val="heading 5"/>
    <w:basedOn w:val="Style_1_ch"/>
    <w:link w:val="Style_15"/>
    <w:rPr>
      <w:color w:themeColor="accent1" w:themeShade="BF" w:val="2F5496"/>
    </w:rPr>
  </w:style>
  <w:style w:styleId="Style_16" w:type="paragraph">
    <w:name w:val="heading 1"/>
    <w:basedOn w:val="Style_1"/>
    <w:next w:val="Style_1"/>
    <w:link w:val="Style_16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6_ch" w:type="character">
    <w:name w:val="heading 1"/>
    <w:basedOn w:val="Style_1_ch"/>
    <w:link w:val="Style_16"/>
    <w:rPr>
      <w:rFonts w:asciiTheme="majorAscii" w:hAnsiTheme="majorHAnsi"/>
      <w:color w:themeColor="accent1" w:themeShade="BF" w:val="2F5496"/>
      <w:sz w:val="40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1"/>
    <w:next w:val="Style_1"/>
    <w:link w:val="Style_19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9_ch" w:type="character">
    <w:name w:val="heading 8"/>
    <w:basedOn w:val="Style_1_ch"/>
    <w:link w:val="Style_19"/>
    <w:rPr>
      <w:i w:val="1"/>
      <w:color w:themeColor="text1" w:themeTint="D8" w:val="272727"/>
    </w:rPr>
  </w:style>
  <w:style w:styleId="Style_20" w:type="paragraph">
    <w:name w:val="toc 1"/>
    <w:next w:val="Style_1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1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basedOn w:val="Style_1"/>
    <w:next w:val="Style_1"/>
    <w:link w:val="Style_25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5_ch" w:type="character">
    <w:name w:val="Subtitle"/>
    <w:basedOn w:val="Style_1_ch"/>
    <w:link w:val="Style_25"/>
    <w:rPr>
      <w:color w:themeColor="text1" w:themeTint="A6" w:val="595959"/>
      <w:spacing w:val="15"/>
      <w:sz w:val="28"/>
    </w:rPr>
  </w:style>
  <w:style w:styleId="Style_26" w:type="paragraph">
    <w:name w:val="Title"/>
    <w:basedOn w:val="Style_1"/>
    <w:next w:val="Style_1"/>
    <w:link w:val="Style_26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6_ch" w:type="character">
    <w:name w:val="Title"/>
    <w:basedOn w:val="Style_1_ch"/>
    <w:link w:val="Style_26"/>
    <w:rPr>
      <w:rFonts w:asciiTheme="majorAscii" w:hAnsiTheme="majorHAnsi"/>
      <w:spacing w:val="-10"/>
      <w:sz w:val="56"/>
    </w:rPr>
  </w:style>
  <w:style w:styleId="Style_27" w:type="paragraph">
    <w:name w:val="heading 4"/>
    <w:basedOn w:val="Style_1"/>
    <w:next w:val="Style_1"/>
    <w:link w:val="Style_27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7_ch" w:type="character">
    <w:name w:val="heading 4"/>
    <w:basedOn w:val="Style_1_ch"/>
    <w:link w:val="Style_27"/>
    <w:rPr>
      <w:i w:val="1"/>
      <w:color w:themeColor="accent1" w:themeShade="BF" w:val="2F5496"/>
    </w:rPr>
  </w:style>
  <w:style w:styleId="Style_28" w:type="paragraph">
    <w:name w:val="Intense Reference"/>
    <w:basedOn w:val="Style_3"/>
    <w:link w:val="Style_28_ch"/>
    <w:rPr>
      <w:b w:val="1"/>
      <w:smallCaps w:val="1"/>
      <w:color w:themeColor="accent1" w:themeShade="BF" w:val="2F5496"/>
      <w:spacing w:val="5"/>
    </w:rPr>
  </w:style>
  <w:style w:styleId="Style_28_ch" w:type="character">
    <w:name w:val="Intense Reference"/>
    <w:basedOn w:val="Style_3_ch"/>
    <w:link w:val="Style_28"/>
    <w:rPr>
      <w:b w:val="1"/>
      <w:smallCaps w:val="1"/>
      <w:color w:themeColor="accent1" w:themeShade="BF" w:val="2F5496"/>
      <w:spacing w:val="5"/>
    </w:rPr>
  </w:style>
  <w:style w:styleId="Style_29" w:type="paragraph">
    <w:name w:val="heading 2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29_ch" w:type="character">
    <w:name w:val="heading 2"/>
    <w:basedOn w:val="Style_1_ch"/>
    <w:link w:val="Style_29"/>
    <w:rPr>
      <w:rFonts w:asciiTheme="majorAscii" w:hAnsiTheme="majorHAnsi"/>
      <w:color w:themeColor="accent1" w:themeShade="BF" w:val="2F5496"/>
      <w:sz w:val="32"/>
    </w:rPr>
  </w:style>
  <w:style w:styleId="Style_30" w:type="paragraph">
    <w:name w:val="heading 6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0_ch" w:type="character">
    <w:name w:val="heading 6"/>
    <w:basedOn w:val="Style_1_ch"/>
    <w:link w:val="Style_30"/>
    <w:rPr>
      <w:i w:val="1"/>
      <w:color w:themeColor="text1" w:themeTint="A6" w:val="595959"/>
    </w:rPr>
  </w:style>
  <w:style w:styleId="Style_31" w:type="paragraph">
    <w:name w:val="Intense Emphasis"/>
    <w:basedOn w:val="Style_3"/>
    <w:link w:val="Style_31_ch"/>
    <w:rPr>
      <w:i w:val="1"/>
      <w:color w:themeColor="accent1" w:themeShade="BF" w:val="2F5496"/>
    </w:rPr>
  </w:style>
  <w:style w:styleId="Style_31_ch" w:type="character">
    <w:name w:val="Intense Emphasis"/>
    <w:basedOn w:val="Style_3_ch"/>
    <w:link w:val="Style_31"/>
    <w:rPr>
      <w:i w:val="1"/>
      <w:color w:themeColor="accent1" w:themeShade="BF" w:val="2F5496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2025-03-12T19:56:00Z</dcterms:created>
  <dcterms:modified xsi:type="dcterms:W3CDTF">2026-06-24T18:39:01Z</dcterms:modified>
</cp:coreProperties>
</file>