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b"/>
        <w:tblpPr w:vertAnchor="text" w:horzAnchor="margin" w:leftFromText="180" w:rightFromText="180" w:tblpX="0" w:tblpY="-312"/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31"/>
        <w:gridCol w:w="5390"/>
        <w:gridCol w:w="1950"/>
      </w:tblGrid>
      <w:tr>
        <w:trPr>
          <w:trHeight w:val="2132" w:hRule="atLeast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themeColor="accent5" w:val="4472C4"/>
                <w:sz w:val="24"/>
                <w:szCs w:val="24"/>
                <w:shd w:fill="FFFFFF" w:val="clear"/>
                <w:lang w:val="en-US"/>
              </w:rPr>
            </w:pPr>
            <w:r>
              <w:rPr>
                <w:rFonts w:cs="Times New Roman" w:ascii="Times New Roman" w:hAnsi="Times New Roman"/>
                <w:color w:themeColor="accent5" w:val="4472C4"/>
                <w:sz w:val="24"/>
                <w:szCs w:val="24"/>
                <w:shd w:fill="FFFFFF" w:val="clear"/>
                <w:lang w:val="en-US"/>
              </w:rPr>
              <w:drawing>
                <wp:anchor behindDoc="0" distT="0" distB="0" distL="0" distR="0" simplePos="0" locked="0" layoutInCell="1" allowOverlap="1" relativeHeight="4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354330</wp:posOffset>
                  </wp:positionV>
                  <wp:extent cx="1082040" cy="1206500"/>
                  <wp:effectExtent l="0" t="0" r="0" b="0"/>
                  <wp:wrapSquare wrapText="largest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rFonts w:eastAsia="Times New Roman"/>
              </w:rPr>
            </w:pPr>
            <w:r>
              <w:rPr>
                <w:bCs/>
                <w:kern w:val="0"/>
                <w:sz w:val="26"/>
                <w:szCs w:val="26"/>
                <w:lang w:val="ru-RU" w:bidi="ar-SA"/>
              </w:rPr>
              <w:t>КУ ОО «</w:t>
            </w:r>
            <w:r>
              <w:rPr>
                <w:bCs/>
                <w:kern w:val="0"/>
                <w:sz w:val="26"/>
                <w:szCs w:val="26"/>
                <w:lang w:val="ru-RU" w:bidi="ar-SA"/>
              </w:rPr>
              <w:t xml:space="preserve">ЦЗН </w:t>
            </w:r>
            <w:r>
              <w:rPr>
                <w:rFonts w:cs="Times New Roman"/>
                <w:bCs/>
                <w:kern w:val="0"/>
                <w:sz w:val="26"/>
                <w:szCs w:val="26"/>
                <w:lang w:val="ru-RU" w:bidi="ar-SA"/>
              </w:rPr>
              <w:t>Орловской области»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Степана Разина ул., д. 3, г. Орел, 302002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Тел./факс (4862) 59-96-26, 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en-US" w:bidi="ar-SA"/>
              </w:rPr>
              <w:t>oo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_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en-US" w:bidi="ar-SA"/>
              </w:rPr>
              <w:t>czn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_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en-US" w:bidi="ar-SA"/>
              </w:rPr>
              <w:t>obl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@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en-US" w:bidi="ar-SA"/>
              </w:rPr>
              <w:t>orel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-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en-US" w:bidi="ar-SA"/>
              </w:rPr>
              <w:t>region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en-US" w:bidi="ar-SA"/>
              </w:rPr>
              <w:t>ru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accent5" w:val="4472C4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themeColor="accent5" w:val="4472C4"/>
                <w:sz w:val="24"/>
                <w:szCs w:val="24"/>
                <w:shd w:fill="FFFFFF" w:val="clear"/>
              </w:rPr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accent5" w:val="4472C4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themeColor="accent5" w:val="4472C4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accent5" w:val="4472C4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themeColor="accent5" w:val="4472C4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accent5" w:val="4472C4"/>
                <w:sz w:val="24"/>
                <w:szCs w:val="24"/>
                <w:shd w:fill="FFFFFF" w:val="clear"/>
              </w:rPr>
            </w:pPr>
            <w:r>
              <w:rPr/>
              <w:drawing>
                <wp:inline distT="0" distB="0" distL="0" distR="0">
                  <wp:extent cx="687705" cy="977900"/>
                  <wp:effectExtent l="0" t="0" r="0" b="0"/>
                  <wp:docPr id="2" name="Рисунок 8" descr="C:\Users\ARM\Downloads\IMG_9527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8" descr="C:\Users\ARM\Downloads\IMG_9527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accent5" w:val="4472C4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themeColor="accent5" w:val="4472C4"/>
                <w:sz w:val="24"/>
                <w:szCs w:val="24"/>
                <w:shd w:fill="FFFFFF" w:val="clear"/>
              </w:rPr>
            </w:r>
          </w:p>
        </w:tc>
      </w:tr>
    </w:tbl>
    <w:p>
      <w:pPr>
        <w:pStyle w:val="NormalWeb"/>
        <w:spacing w:beforeAutospacing="0" w:before="0" w:afterAutospacing="0" w:after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</w:t>
      </w:r>
    </w:p>
    <w:p>
      <w:pPr>
        <w:pStyle w:val="NormalWeb"/>
        <w:spacing w:beforeAutospacing="0" w:before="0" w:afterAutospacing="0"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21</w:t>
      </w:r>
      <w:r>
        <w:rPr>
          <w:b/>
          <w:bCs/>
          <w:sz w:val="26"/>
          <w:szCs w:val="26"/>
        </w:rPr>
        <w:t>.10.2025</w:t>
      </w:r>
    </w:p>
    <w:p>
      <w:pPr>
        <w:pStyle w:val="Normal"/>
        <w:spacing w:lineRule="auto" w:line="240" w:before="0" w:after="0"/>
        <w:ind w:firstLine="708" w:left="2832"/>
        <w:rPr>
          <w:rFonts w:ascii="Times New Roman" w:hAnsi="Times New Roman" w:cs="Times New Roman"/>
          <w:b/>
          <w:color w:themeColor="accent5" w:themeShade="bf" w:val="2F5496"/>
          <w:sz w:val="28"/>
          <w:szCs w:val="28"/>
        </w:rPr>
      </w:pPr>
      <w:r>
        <w:rPr>
          <w:rFonts w:cs="Times New Roman" w:ascii="Times New Roman" w:hAnsi="Times New Roman"/>
          <w:b/>
          <w:color w:themeColor="accent5" w:themeShade="bf" w:val="2F5496"/>
          <w:sz w:val="28"/>
          <w:szCs w:val="28"/>
        </w:rPr>
        <w:t xml:space="preserve">     </w:t>
      </w:r>
    </w:p>
    <w:p>
      <w:pPr>
        <w:pStyle w:val="Normal"/>
        <w:spacing w:lineRule="auto" w:line="240" w:before="0" w:after="0"/>
        <w:ind w:firstLine="708" w:left="2832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cs="Times New Roman" w:ascii="Times New Roman" w:hAnsi="Times New Roman"/>
          <w:b/>
          <w:color w:val="002060"/>
          <w:sz w:val="28"/>
          <w:szCs w:val="28"/>
          <w:lang w:val="en-US"/>
        </w:rPr>
        <w:t xml:space="preserve">  </w:t>
      </w:r>
      <w:r>
        <w:rPr>
          <w:rFonts w:cs="Times New Roman" w:ascii="Times New Roman" w:hAnsi="Times New Roman"/>
          <w:b/>
          <w:color w:val="002060"/>
          <w:sz w:val="28"/>
          <w:szCs w:val="28"/>
        </w:rPr>
        <w:t>ПРЕСС-РЕЛИЗ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1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Bumpedfont15"/>
          <w:rFonts w:ascii="Times New Roman" w:hAnsi="Times New Roman"/>
          <w:b/>
          <w:bCs/>
          <w:sz w:val="28"/>
          <w:szCs w:val="28"/>
        </w:rPr>
        <w:t>В Орле прошла первая специализированная ярмарка трудоустройства для ветеранов СВО с инвалидностью</w:t>
      </w:r>
    </w:p>
    <w:p>
      <w:pPr>
        <w:pStyle w:val="Style19"/>
        <w:jc w:val="both"/>
        <w:rPr>
          <w:rStyle w:val="Bumpedfont15"/>
          <w:rFonts w:ascii="Times New Roman" w:hAnsi="Times New Roman"/>
          <w:b/>
          <w:bCs/>
          <w:sz w:val="28"/>
          <w:szCs w:val="28"/>
        </w:rPr>
      </w:pPr>
      <w:r>
        <w:rPr/>
      </w:r>
    </w:p>
    <w:p>
      <w:pPr>
        <w:pStyle w:val="Style19"/>
        <w:jc w:val="both"/>
        <w:rPr/>
      </w:pPr>
      <w:r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  <w:tab/>
        <w:t>Ведущие региональные предприятия и учреждения 21 октября предложили специалистам с боевым опытом более 150 вакансий, в том числе по квотируемым рабочим местам для инвалидов.</w:t>
      </w:r>
    </w:p>
    <w:p>
      <w:pPr>
        <w:pStyle w:val="Style19"/>
        <w:jc w:val="both"/>
        <w:rPr/>
      </w:pPr>
      <w:r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  <w:tab/>
        <w:t>Ярмарку трудоустройства организовал Кадровый центр Орловской области совместно с филиалом Государственного фонда «Защитники Отечества». Мероприятие было направлено на всестороннюю поддержку участников СВО, для того, чтобы военнослужащие в максимально короткие сроки интегрировались в гражданскую жизнь и нашли подходящую работу.</w:t>
      </w:r>
    </w:p>
    <w:p>
      <w:pPr>
        <w:pStyle w:val="Style19"/>
        <w:jc w:val="both"/>
        <w:rPr/>
      </w:pPr>
      <w:r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  <w:tab/>
        <w:t>Ярмарки трудоустройства на площадке фонда «Защитники Отечества» проходят ежемесячно. Выбор места локации для проведения неслучаен: это сделано для того, чтобы соискатели с боевым опытом могли в комфор</w:t>
      </w:r>
      <w:r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  <w:t>т</w:t>
      </w:r>
      <w:r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  <w:t xml:space="preserve">ной для них обстановке, среди своих соратников, встретиться с работодателями в одном месте и в режиме живого диалога обсудить условия дальнейшего трудоустройства. </w:t>
      </w:r>
    </w:p>
    <w:p>
      <w:pPr>
        <w:pStyle w:val="Style19"/>
        <w:jc w:val="both"/>
        <w:rPr/>
      </w:pPr>
      <w:r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  <w:tab/>
        <w:t>Среди предприятий-участников были: АО «Газпром газораспределение Орел», МБУ «Спецавтобаза», ООО «Интропластика», АО «Северсталь Стальные Решения», УФССП России по Орловской области, филиал ПАО «Россети Центр» — «Орелэнерго».</w:t>
      </w:r>
    </w:p>
    <w:p>
      <w:pPr>
        <w:pStyle w:val="Style19"/>
        <w:jc w:val="both"/>
        <w:rPr/>
      </w:pPr>
      <w:r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  <w:tab/>
        <w:t>«Трудовое законодательство предусматривает для участников СВО сохранение рабочего места. Но при возвращении к гражданской жизни у них могут поменяться профессиональные установки и взгляды на свою карьерную траекторию. Территориальные центры занятости населения региона открыты для соискателей с боевым опытом, наши специалисты в приоритетном порядке готовы оказать содействие в поиске работы и переобучении участников специальной военной операции. А специализированные ярмарки трудоустройства — дополнительная возможность изменить жизнь наших героев к лучшему, символ заботы и уважения к ним», — рассказала руководитель Департамента социальной защиты, опеки и попечительства, труда и занятости Орловской области Ирина Гаврилина.</w:t>
      </w:r>
    </w:p>
    <w:p>
      <w:pPr>
        <w:pStyle w:val="Style19"/>
        <w:jc w:val="both"/>
        <w:rPr/>
      </w:pPr>
      <w:r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  <w:tab/>
        <w:t>В этот день участники СВО получили комплексную поддержку от специалистов Кадрового центра Орловской области. Соискатели смогли посетить персональные консультации по поиску подходящего места работы, прохождению эффективных собеседований с потенциальными работодателями, а также адресное информирование о возможностях обучения и освоения новой профессии в рамках национального проекта «Кадры».</w:t>
      </w:r>
    </w:p>
    <w:p>
      <w:pPr>
        <w:pStyle w:val="Style19"/>
        <w:jc w:val="both"/>
        <w:rPr/>
      </w:pPr>
      <w:r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  <w:tab/>
        <w:t>Персональное сопровождение подопечных оказали и социальные координаторы фонда «Защитники Отечества».</w:t>
      </w:r>
    </w:p>
    <w:p>
      <w:pPr>
        <w:pStyle w:val="Style19"/>
        <w:jc w:val="both"/>
        <w:rPr/>
      </w:pPr>
      <w:r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  <w:tab/>
        <w:t>В дальнейшем планируется организовать ярмарки трудоустройства для ветеранов СВО в районах Орловской области.</w:t>
      </w:r>
    </w:p>
    <w:p>
      <w:pPr>
        <w:pStyle w:val="Style19"/>
        <w:jc w:val="both"/>
        <w:rPr/>
      </w:pPr>
      <w:r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  <w:tab/>
        <w:t>Отметим, Кадровый центр Орловской области организует персональное сопровождение ищущих работу ветеранов СВО, в том числе с инвалидностью. Для каждого такого соискателя составляется индивидуальный план содействия занятости, который учитывает особенности здоровья и профессиональные интересы. Кроме того, специалисты территориальных центров занятости помогают соискателям с инвалидностью  подготовиться к собеседованиям, адаптироваться на новом рабочем месте и обеспечивают поддержку на всех этапах трудоустройства.</w:t>
      </w:r>
    </w:p>
    <w:p>
      <w:pPr>
        <w:pStyle w:val="Style19"/>
        <w:jc w:val="both"/>
        <w:rPr/>
      </w:pPr>
      <w:r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  <w:tab/>
        <w:t>Напомним, при приёме на работу граждан с инвалидностью предприятия Орловской области могут получить финансовую поддержку. Средства направляются на создание рабочих мест, трудоустройство и наставничество при адаптации на рабочем месте.</w:t>
      </w:r>
    </w:p>
    <w:p>
      <w:pPr>
        <w:pStyle w:val="Style19"/>
        <w:jc w:val="both"/>
        <w:rPr>
          <w:rStyle w:val="Bumpedfont15"/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Style19"/>
        <w:jc w:val="right"/>
        <w:rPr>
          <w:rStyle w:val="Hyperlink"/>
          <w:rFonts w:ascii="Times New Roman" w:hAnsi="Times New Roman" w:cs="Times New Roman"/>
          <w:color w:val="2F5496"/>
          <w:sz w:val="24"/>
          <w:szCs w:val="24"/>
          <w:u w:val="none"/>
          <w:shd w:fill="FFFFFF" w:val="clear"/>
          <w:lang w:val="en-US"/>
        </w:rPr>
      </w:pPr>
      <w:r>
        <w:rPr>
          <w:rStyle w:val="Bumpedfont15"/>
          <w:rFonts w:ascii="Times New Roman" w:hAnsi="Times New Roman"/>
          <w:b/>
          <w:bCs/>
          <w:sz w:val="28"/>
          <w:szCs w:val="28"/>
        </w:rPr>
        <w:t>Пресс-служба Кадрового центра Орловской области.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40325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semiHidden/>
    <w:qFormat/>
    <w:rsid w:val="00de1cb6"/>
    <w:rPr>
      <w:rFonts w:ascii="Times New Roman" w:hAnsi="Times New Roman" w:eastAsia="Andale Sans UI" w:cs="Times New Roman"/>
      <w:kern w:val="2"/>
      <w:sz w:val="24"/>
      <w:szCs w:val="24"/>
    </w:rPr>
  </w:style>
  <w:style w:type="character" w:styleId="Strong">
    <w:name w:val="Strong"/>
    <w:qFormat/>
    <w:rsid w:val="00de1cb6"/>
    <w:rPr>
      <w:b/>
      <w:bCs/>
    </w:rPr>
  </w:style>
  <w:style w:type="character" w:styleId="Hyperlink">
    <w:name w:val="Hyperlink"/>
    <w:basedOn w:val="DefaultParagraphFont"/>
    <w:uiPriority w:val="99"/>
    <w:rsid w:val="004d3399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4d3399"/>
    <w:rPr>
      <w:rFonts w:ascii="Tahoma" w:hAnsi="Tahoma" w:eastAsia="Calibri" w:cs="Tahoma"/>
      <w:sz w:val="16"/>
      <w:szCs w:val="16"/>
      <w:lang w:eastAsia="zh-CN"/>
    </w:rPr>
  </w:style>
  <w:style w:type="character" w:styleId="Bumpedfont15" w:customStyle="1">
    <w:name w:val="bumpedfont15"/>
    <w:basedOn w:val="DefaultParagraphFont"/>
    <w:qFormat/>
    <w:rsid w:val="006636f5"/>
    <w:rPr/>
  </w:style>
  <w:style w:type="character" w:styleId="Apple-converted-space" w:customStyle="1">
    <w:name w:val="apple-converted-space"/>
    <w:basedOn w:val="DefaultParagraphFont"/>
    <w:qFormat/>
    <w:rsid w:val="006636f5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semiHidden/>
    <w:rsid w:val="00de1cb6"/>
    <w:pPr>
      <w:widowControl w:val="false"/>
      <w:suppressLineNumbers/>
      <w:spacing w:lineRule="auto" w:line="240" w:before="0" w:after="0"/>
    </w:pPr>
    <w:rPr>
      <w:rFonts w:ascii="Times New Roman" w:hAnsi="Times New Roman" w:eastAsia="Andale Sans UI" w:cs="Times New Roman"/>
      <w:kern w:val="2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65511d"/>
    <w:pPr>
      <w:suppressAutoHyphens w:val="false"/>
      <w:spacing w:lineRule="auto" w:line="240" w:beforeAutospacing="1" w:afterAutospacing="1"/>
    </w:pPr>
    <w:rPr>
      <w:rFonts w:ascii="Times New Roman" w:hAnsi="Times New Roman" w:eastAsia="Calibri" w:cs="Times New Roman" w:eastAsiaTheme="minorHAnsi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36e7a"/>
    <w:pPr>
      <w:suppressAutoHyphens w:val="false"/>
      <w:spacing w:lineRule="auto" w:line="259" w:before="0" w:after="16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4d339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3" w:customStyle="1">
    <w:name w:val="s3"/>
    <w:basedOn w:val="Normal"/>
    <w:qFormat/>
    <w:rsid w:val="006636f5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6" w:customStyle="1">
    <w:name w:val="s6"/>
    <w:basedOn w:val="Normal"/>
    <w:qFormat/>
    <w:rsid w:val="006636f5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8" w:customStyle="1">
    <w:name w:val="s8"/>
    <w:basedOn w:val="Normal"/>
    <w:qFormat/>
    <w:rsid w:val="006636f5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9" w:customStyle="1">
    <w:name w:val="s9"/>
    <w:basedOn w:val="Normal"/>
    <w:qFormat/>
    <w:rsid w:val="006636f5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Текст в заданном формате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a83aa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7CAE3-D377-4A8C-9BF6-6455937E9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Application>LibreOffice/7.6.2.1$Windows_X86_64 LibreOffice_project/56f7684011345957bbf33a7ee678afaf4d2ba333</Application>
  <AppVersion>15.0000</AppVersion>
  <Pages>2</Pages>
  <Words>415</Words>
  <Characters>3048</Characters>
  <CharactersWithSpaces>3474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2025-03-20T20:27:00Z</dcterms:created>
  <dc:creator>Горяйнова Елена Алексеевна</dc:creator>
  <dc:description/>
  <dc:language>ru-RU</dc:language>
  <cp:lastModifiedBy/>
  <cp:lastPrinted>2025-07-04T10:09:48Z</cp:lastPrinted>
  <dcterms:modified xsi:type="dcterms:W3CDTF">2025-10-21T14:35:34Z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