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b/>
          <w:sz w:val="28"/>
          <w:szCs w:val="28"/>
          <w:lang w:eastAsia="ru-RU"/>
        </w:rPr>
      </w:pPr>
      <w:r>
        <w:rPr>
          <w:b/>
          <w:sz w:val="28"/>
          <w:szCs w:val="28"/>
          <w:lang w:eastAsia="ru-RU"/>
        </w:rPr>
        <w:t>Р</w:t>
      </w:r>
      <w:r>
        <w:rPr>
          <w:rFonts w:ascii="Times New Roman" w:hAnsi="Times New Roman" w:eastAsia="Times New Roman"/>
          <w:b/>
          <w:sz w:val="28"/>
          <w:szCs w:val="28"/>
          <w:lang w:eastAsia="ru-RU"/>
        </w:rPr>
        <w:t>ОССИЙСКАЯ  ФЕДЕРАЦИЯ</w:t>
      </w:r>
    </w:p>
    <w:p>
      <w:pPr>
        <w:spacing w:after="0" w:line="240" w:lineRule="auto"/>
        <w:jc w:val="center"/>
        <w:rPr>
          <w:rFonts w:ascii="Times New Roman" w:hAnsi="Times New Roman" w:eastAsia="Times New Roman"/>
          <w:b/>
          <w:sz w:val="28"/>
          <w:szCs w:val="28"/>
          <w:lang w:eastAsia="ru-RU"/>
        </w:rPr>
      </w:pPr>
      <w:r>
        <w:rPr>
          <w:rFonts w:ascii="Times New Roman" w:hAnsi="Times New Roman" w:eastAsia="Times New Roman"/>
          <w:b/>
          <w:sz w:val="28"/>
          <w:szCs w:val="28"/>
          <w:lang w:eastAsia="ru-RU"/>
        </w:rPr>
        <w:t>ОРЛОВСКАЯ  ОБЛАСТЬ</w:t>
      </w:r>
    </w:p>
    <w:p>
      <w:pPr>
        <w:spacing w:after="0" w:line="240" w:lineRule="auto"/>
        <w:jc w:val="center"/>
        <w:rPr>
          <w:rFonts w:ascii="Times New Roman" w:hAnsi="Times New Roman" w:eastAsia="Times New Roman"/>
          <w:b/>
          <w:sz w:val="28"/>
          <w:szCs w:val="28"/>
          <w:lang w:eastAsia="ru-RU"/>
        </w:rPr>
      </w:pPr>
      <w:r>
        <w:rPr>
          <w:rFonts w:ascii="Times New Roman" w:hAnsi="Times New Roman" w:eastAsia="Times New Roman"/>
          <w:b/>
          <w:sz w:val="28"/>
          <w:szCs w:val="28"/>
          <w:lang w:eastAsia="ru-RU"/>
        </w:rPr>
        <w:t>ВЕРХОВСК</w:t>
      </w:r>
      <w:r>
        <w:rPr>
          <w:b/>
          <w:sz w:val="28"/>
          <w:szCs w:val="28"/>
          <w:lang w:eastAsia="ru-RU"/>
        </w:rPr>
        <w:t>ИЙ</w:t>
      </w:r>
      <w:r>
        <w:rPr>
          <w:rFonts w:ascii="Times New Roman" w:hAnsi="Times New Roman" w:eastAsia="Times New Roman"/>
          <w:b/>
          <w:sz w:val="28"/>
          <w:szCs w:val="28"/>
          <w:lang w:eastAsia="ru-RU"/>
        </w:rPr>
        <w:t xml:space="preserve">  РАЙОН</w:t>
      </w:r>
    </w:p>
    <w:p>
      <w:pPr>
        <w:spacing w:after="0" w:line="240" w:lineRule="auto"/>
        <w:jc w:val="center"/>
        <w:rPr>
          <w:rFonts w:ascii="Times New Roman" w:hAnsi="Times New Roman" w:eastAsia="Times New Roman"/>
          <w:b/>
          <w:sz w:val="28"/>
          <w:szCs w:val="28"/>
          <w:lang w:eastAsia="ru-RU"/>
        </w:rPr>
      </w:pPr>
      <w:bookmarkStart w:id="2" w:name="_GoBack"/>
      <w:bookmarkEnd w:id="2"/>
    </w:p>
    <w:p>
      <w:pPr>
        <w:spacing w:after="0" w:line="240" w:lineRule="auto"/>
        <w:jc w:val="center"/>
        <w:rPr>
          <w:rFonts w:ascii="Times New Roman" w:hAnsi="Times New Roman" w:eastAsia="Times New Roman"/>
          <w:b/>
          <w:sz w:val="28"/>
          <w:szCs w:val="28"/>
          <w:lang w:eastAsia="ru-RU"/>
        </w:rPr>
      </w:pPr>
      <w:r>
        <w:rPr>
          <w:rFonts w:ascii="Times New Roman" w:hAnsi="Times New Roman" w:eastAsia="Times New Roman"/>
          <w:b/>
          <w:sz w:val="28"/>
          <w:szCs w:val="28"/>
          <w:lang w:eastAsia="ru-RU"/>
        </w:rPr>
        <w:t xml:space="preserve">  АДМИНИСТРАЦИЯ  ПЕСОЧЕНСКОГО СЕЛЬСКОГО ПОСЕЛЕНИЯ</w:t>
      </w:r>
      <w:r>
        <w:rPr>
          <w:rFonts w:ascii="Times New Roman" w:hAnsi="Times New Roman" w:eastAsia="Times New Roman"/>
          <w:b/>
          <w:sz w:val="28"/>
          <w:szCs w:val="28"/>
          <w:lang w:eastAsia="ru-RU"/>
        </w:rPr>
        <w:br w:type="textWrapping"/>
      </w:r>
    </w:p>
    <w:p>
      <w:pPr>
        <w:spacing w:after="0" w:line="240" w:lineRule="auto"/>
        <w:jc w:val="center"/>
        <w:rPr>
          <w:rFonts w:ascii="Times New Roman" w:hAnsi="Times New Roman" w:eastAsia="Times New Roman"/>
          <w:b/>
          <w:sz w:val="28"/>
          <w:szCs w:val="28"/>
          <w:lang w:eastAsia="ru-RU"/>
        </w:rPr>
      </w:pPr>
      <w:r>
        <w:rPr>
          <w:rFonts w:ascii="Times New Roman" w:hAnsi="Times New Roman" w:eastAsia="Times New Roman"/>
          <w:b/>
          <w:sz w:val="28"/>
          <w:szCs w:val="28"/>
          <w:lang w:eastAsia="ru-RU"/>
        </w:rPr>
        <w:t>ПОСТАНОВЛЕНИЕ</w:t>
      </w:r>
    </w:p>
    <w:p>
      <w:pPr>
        <w:spacing w:before="100" w:beforeAutospacing="1" w:after="100" w:afterAutospacing="1" w:line="240" w:lineRule="auto"/>
        <w:rPr>
          <w:rFonts w:hint="default" w:ascii="Times New Roman" w:hAnsi="Times New Roman" w:eastAsia="Times New Roman"/>
          <w:sz w:val="28"/>
          <w:szCs w:val="28"/>
          <w:lang w:val="en-US" w:eastAsia="ru-RU"/>
        </w:rPr>
      </w:pPr>
      <w:r>
        <w:rPr>
          <w:rFonts w:ascii="Times New Roman" w:hAnsi="Times New Roman" w:eastAsia="Times New Roman"/>
          <w:sz w:val="28"/>
          <w:szCs w:val="28"/>
          <w:lang w:eastAsia="ru-RU"/>
        </w:rPr>
        <w:t>«0</w:t>
      </w:r>
      <w:r>
        <w:rPr>
          <w:rFonts w:hint="default"/>
          <w:sz w:val="28"/>
          <w:szCs w:val="28"/>
          <w:lang w:val="en-US" w:eastAsia="ru-RU"/>
        </w:rPr>
        <w:t>8</w:t>
      </w:r>
      <w:r>
        <w:rPr>
          <w:rFonts w:ascii="Times New Roman" w:hAnsi="Times New Roman" w:eastAsia="Times New Roman"/>
          <w:sz w:val="28"/>
          <w:szCs w:val="28"/>
          <w:lang w:eastAsia="ru-RU"/>
        </w:rPr>
        <w:t xml:space="preserve">»  </w:t>
      </w:r>
      <w:r>
        <w:rPr>
          <w:sz w:val="28"/>
          <w:szCs w:val="28"/>
          <w:lang w:eastAsia="ru-RU"/>
        </w:rPr>
        <w:t>августа</w:t>
      </w:r>
      <w:r>
        <w:rPr>
          <w:rFonts w:ascii="Times New Roman" w:hAnsi="Times New Roman" w:eastAsia="Times New Roman"/>
          <w:sz w:val="28"/>
          <w:szCs w:val="28"/>
          <w:lang w:eastAsia="ru-RU"/>
        </w:rPr>
        <w:t xml:space="preserve"> 20</w:t>
      </w:r>
      <w:r>
        <w:rPr>
          <w:rFonts w:hint="default"/>
          <w:sz w:val="28"/>
          <w:szCs w:val="28"/>
          <w:lang w:val="en-US" w:eastAsia="ru-RU"/>
        </w:rPr>
        <w:t>24</w:t>
      </w:r>
      <w:r>
        <w:rPr>
          <w:rFonts w:ascii="Times New Roman" w:hAnsi="Times New Roman" w:eastAsia="Times New Roman"/>
          <w:sz w:val="28"/>
          <w:szCs w:val="28"/>
          <w:lang w:eastAsia="ru-RU"/>
        </w:rPr>
        <w:t xml:space="preserve"> г</w:t>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ab/>
      </w:r>
      <w:r>
        <w:rPr>
          <w:rFonts w:ascii="Times New Roman" w:hAnsi="Times New Roman" w:eastAsia="Times New Roman"/>
          <w:sz w:val="28"/>
          <w:szCs w:val="28"/>
          <w:lang w:eastAsia="ru-RU"/>
        </w:rPr>
        <w:t>№</w:t>
      </w:r>
      <w:r>
        <w:rPr>
          <w:rFonts w:ascii="Times New Roman" w:hAnsi="Times New Roman" w:eastAsia="Times New Roman"/>
          <w:sz w:val="28"/>
          <w:szCs w:val="28"/>
          <w:lang w:val="en-US" w:eastAsia="ru-RU"/>
        </w:rPr>
        <w:t> </w:t>
      </w:r>
      <w:r>
        <w:rPr>
          <w:rFonts w:ascii="Times New Roman" w:hAnsi="Times New Roman" w:eastAsia="Times New Roman"/>
          <w:sz w:val="28"/>
          <w:szCs w:val="28"/>
          <w:lang w:eastAsia="ru-RU"/>
        </w:rPr>
        <w:t xml:space="preserve"> 1</w:t>
      </w:r>
      <w:r>
        <w:rPr>
          <w:rFonts w:hint="default"/>
          <w:sz w:val="28"/>
          <w:szCs w:val="28"/>
          <w:lang w:val="en-US" w:eastAsia="ru-RU"/>
        </w:rPr>
        <w:t>5</w:t>
      </w:r>
    </w:p>
    <w:p>
      <w:pPr>
        <w:autoSpaceDE w:val="0"/>
        <w:autoSpaceDN w:val="0"/>
        <w:adjustRightInd w:val="0"/>
        <w:spacing w:before="108" w:after="108" w:line="240" w:lineRule="auto"/>
        <w:jc w:val="center"/>
        <w:rPr>
          <w:rFonts w:ascii="Arial" w:hAnsi="Arial" w:cs="Arial"/>
          <w:b/>
          <w:bCs/>
          <w:color w:val="26282F"/>
          <w:sz w:val="28"/>
          <w:szCs w:val="28"/>
        </w:rPr>
      </w:pPr>
    </w:p>
    <w:p>
      <w:pPr>
        <w:pStyle w:val="7"/>
        <w:widowControl/>
        <w:ind w:right="0" w:firstLine="720"/>
        <w:jc w:val="center"/>
      </w:pPr>
      <w:r>
        <w:rPr>
          <w:rFonts w:ascii="Arial" w:hAnsi="Arial" w:cs="Arial"/>
          <w:b/>
          <w:bCs/>
          <w:sz w:val="28"/>
          <w:szCs w:val="28"/>
        </w:rPr>
        <w:t xml:space="preserve"> </w:t>
      </w:r>
    </w:p>
    <w:p>
      <w:pPr>
        <w:pStyle w:val="7"/>
        <w:widowControl/>
        <w:ind w:right="0" w:firstLine="720"/>
        <w:jc w:val="center"/>
        <w:rPr>
          <w:rFonts w:hint="default" w:ascii="Times New Roman" w:hAnsi="Times New Roman" w:cs="Times New Roman"/>
          <w:b w:val="0"/>
          <w:sz w:val="28"/>
          <w:szCs w:val="28"/>
          <w:lang w:val="ru-RU"/>
        </w:rPr>
      </w:pPr>
      <w:r>
        <w:rPr>
          <w:rFonts w:hint="default" w:ascii="Times New Roman" w:hAnsi="Times New Roman" w:cs="Times New Roman"/>
          <w:sz w:val="28"/>
          <w:szCs w:val="28"/>
          <w:lang w:val="ru-RU"/>
        </w:rPr>
        <w:t>О</w:t>
      </w:r>
      <w:r>
        <w:rPr>
          <w:rFonts w:hint="default" w:ascii="Times New Roman" w:hAnsi="Times New Roman" w:cs="Times New Roman"/>
          <w:sz w:val="28"/>
          <w:szCs w:val="28"/>
        </w:rPr>
        <w:t>б утверждении Порядка определения размера арендной</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платы за земельные участки</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находящиеся в собственности</w:t>
      </w:r>
      <w:r>
        <w:rPr>
          <w:rFonts w:hint="default" w:ascii="Times New Roman" w:hAnsi="Times New Roman" w:cs="Times New Roman"/>
          <w:sz w:val="28"/>
          <w:szCs w:val="28"/>
          <w:lang w:val="ru-RU"/>
        </w:rPr>
        <w:t xml:space="preserve"> Песоченского сельского поселения Верховского района Орловской области</w:t>
      </w:r>
    </w:p>
    <w:p>
      <w:pPr>
        <w:pStyle w:val="7"/>
        <w:widowControl/>
        <w:ind w:right="0" w:firstLine="720"/>
        <w:jc w:val="both"/>
        <w:rPr>
          <w:rFonts w:hint="default" w:ascii="Times New Roman" w:hAnsi="Times New Roman" w:cs="Times New Roman"/>
          <w:b w:val="0"/>
          <w:sz w:val="28"/>
          <w:szCs w:val="28"/>
        </w:rPr>
      </w:pPr>
    </w:p>
    <w:p>
      <w:pPr>
        <w:autoSpaceDE w:val="0"/>
        <w:autoSpaceDN w:val="0"/>
        <w:adjustRightInd w:val="0"/>
        <w:spacing w:after="0" w:line="240" w:lineRule="auto"/>
        <w:ind w:firstLine="560" w:firstLineChars="200"/>
        <w:jc w:val="both"/>
        <w:rPr>
          <w:rFonts w:ascii="Times New Roman" w:hAnsi="Times New Roman" w:cs="Times New Roman"/>
          <w:b w:val="0"/>
          <w:sz w:val="28"/>
          <w:szCs w:val="28"/>
        </w:rPr>
      </w:pPr>
      <w:r>
        <w:rPr>
          <w:rFonts w:ascii="Times New Roman" w:hAnsi="Times New Roman" w:cs="Times New Roman"/>
          <w:b w:val="0"/>
          <w:sz w:val="28"/>
          <w:szCs w:val="28"/>
        </w:rPr>
        <w:t>В соответствии со стать</w:t>
      </w:r>
      <w:r>
        <w:rPr>
          <w:rFonts w:cs="Times New Roman"/>
          <w:b w:val="0"/>
          <w:sz w:val="28"/>
          <w:szCs w:val="28"/>
          <w:lang w:val="ru-RU"/>
        </w:rPr>
        <w:t>е</w:t>
      </w:r>
      <w:r>
        <w:rPr>
          <w:rFonts w:ascii="Times New Roman" w:hAnsi="Times New Roman" w:cs="Times New Roman"/>
          <w:b w:val="0"/>
          <w:sz w:val="28"/>
          <w:szCs w:val="28"/>
        </w:rPr>
        <w:t>й 39.7, стать</w:t>
      </w:r>
      <w:r>
        <w:rPr>
          <w:rFonts w:cs="Times New Roman"/>
          <w:b w:val="0"/>
          <w:sz w:val="28"/>
          <w:szCs w:val="28"/>
          <w:lang w:val="ru-RU"/>
        </w:rPr>
        <w:t>е</w:t>
      </w:r>
      <w:r>
        <w:rPr>
          <w:rFonts w:ascii="Times New Roman" w:hAnsi="Times New Roman" w:cs="Times New Roman"/>
          <w:b w:val="0"/>
          <w:sz w:val="28"/>
          <w:szCs w:val="28"/>
        </w:rPr>
        <w:t>й 39.11 Земельного кодекса Российской Федерации от 25.10.2001 № 136-ФЗ, пунктом 2 статьи 3.3 Федерального закона от 25.10.2001 № 137-ФЗ «О введении в действие Земельного кодекса Российской Федерации», Федеральным законом от 06.10.2006 №131-ФЗ «Об общих принципах организации местного самоуправления в Российской Федерации», постановлением Правительства Российской Федерации от 16.07.2009 № 582  «Об основных принципах определения размера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Pr>
          <w:rFonts w:hint="default" w:cs="Times New Roman"/>
          <w:b w:val="0"/>
          <w:sz w:val="28"/>
          <w:szCs w:val="28"/>
          <w:lang w:val="ru-RU"/>
        </w:rPr>
        <w:t xml:space="preserve"> администрация</w:t>
      </w:r>
      <w:r>
        <w:rPr>
          <w:rFonts w:ascii="Times New Roman" w:hAnsi="Times New Roman" w:cs="Times New Roman"/>
          <w:b w:val="0"/>
          <w:sz w:val="28"/>
          <w:szCs w:val="28"/>
        </w:rPr>
        <w:t xml:space="preserve"> </w:t>
      </w:r>
      <w:r>
        <w:rPr>
          <w:rFonts w:cs="Times New Roman"/>
          <w:b w:val="0"/>
          <w:sz w:val="28"/>
          <w:szCs w:val="28"/>
          <w:lang w:val="ru-RU"/>
        </w:rPr>
        <w:t>Песоченского</w:t>
      </w:r>
      <w:r>
        <w:rPr>
          <w:rFonts w:hint="default" w:cs="Times New Roman"/>
          <w:b w:val="0"/>
          <w:sz w:val="28"/>
          <w:szCs w:val="28"/>
          <w:lang w:val="ru-RU"/>
        </w:rPr>
        <w:t xml:space="preserve"> сельского поселения Верховского района Орловской</w:t>
      </w:r>
      <w:r>
        <w:rPr>
          <w:rFonts w:ascii="Times New Roman" w:hAnsi="Times New Roman" w:cs="Times New Roman"/>
          <w:b w:val="0"/>
          <w:sz w:val="28"/>
          <w:szCs w:val="28"/>
        </w:rPr>
        <w:t xml:space="preserve"> области</w:t>
      </w:r>
    </w:p>
    <w:p>
      <w:pPr>
        <w:autoSpaceDE w:val="0"/>
        <w:autoSpaceDN w:val="0"/>
        <w:adjustRightInd w:val="0"/>
        <w:spacing w:after="0" w:line="240" w:lineRule="auto"/>
        <w:ind w:firstLine="560" w:firstLineChars="200"/>
        <w:jc w:val="both"/>
        <w:rPr>
          <w:rFonts w:hint="default" w:ascii="Times New Roman" w:hAnsi="Times New Roman" w:cs="Times New Roman"/>
          <w:b w:val="0"/>
          <w:sz w:val="28"/>
          <w:szCs w:val="28"/>
          <w:lang w:val="ru-RU"/>
        </w:rPr>
      </w:pPr>
      <w:r>
        <w:rPr>
          <w:rFonts w:cs="Times New Roman"/>
          <w:b w:val="0"/>
          <w:sz w:val="28"/>
          <w:szCs w:val="28"/>
          <w:lang w:val="ru-RU"/>
        </w:rPr>
        <w:t>ПОСТАНОВЛЯЕТ</w:t>
      </w:r>
      <w:r>
        <w:rPr>
          <w:rFonts w:hint="default" w:cs="Times New Roman"/>
          <w:b w:val="0"/>
          <w:sz w:val="28"/>
          <w:szCs w:val="28"/>
          <w:lang w:val="ru-RU"/>
        </w:rPr>
        <w:t>:</w:t>
      </w:r>
    </w:p>
    <w:p>
      <w:pPr>
        <w:pStyle w:val="7"/>
        <w:widowControl/>
        <w:ind w:right="0" w:firstLine="720"/>
        <w:jc w:val="both"/>
        <w:rPr>
          <w:rFonts w:ascii="Times New Roman" w:hAnsi="Times New Roman" w:cs="Times New Roman"/>
          <w:b w:val="0"/>
          <w:sz w:val="28"/>
          <w:szCs w:val="28"/>
        </w:rPr>
      </w:pPr>
      <w:r>
        <w:rPr>
          <w:rFonts w:ascii="Times New Roman" w:hAnsi="Times New Roman" w:cs="Times New Roman"/>
          <w:b w:val="0"/>
          <w:sz w:val="28"/>
          <w:szCs w:val="28"/>
        </w:rPr>
        <w:t xml:space="preserve">1. Утвердить порядок определения размера арендной платы за земельные участки, находящиеся в собственности </w:t>
      </w:r>
      <w:r>
        <w:rPr>
          <w:rFonts w:ascii="Times New Roman" w:hAnsi="Times New Roman" w:cs="Times New Roman"/>
          <w:b w:val="0"/>
          <w:sz w:val="28"/>
          <w:szCs w:val="28"/>
          <w:lang w:val="ru-RU"/>
        </w:rPr>
        <w:t>Песоченского</w:t>
      </w:r>
      <w:r>
        <w:rPr>
          <w:rFonts w:hint="default" w:ascii="Times New Roman" w:hAnsi="Times New Roman" w:cs="Times New Roman"/>
          <w:b w:val="0"/>
          <w:sz w:val="28"/>
          <w:szCs w:val="28"/>
          <w:lang w:val="ru-RU"/>
        </w:rPr>
        <w:t xml:space="preserve"> сельского поселения</w:t>
      </w:r>
      <w:r>
        <w:rPr>
          <w:rFonts w:ascii="Times New Roman" w:hAnsi="Times New Roman" w:cs="Times New Roman"/>
          <w:b w:val="0"/>
          <w:sz w:val="28"/>
          <w:szCs w:val="28"/>
        </w:rPr>
        <w:t>, согласно приложению.</w:t>
      </w:r>
    </w:p>
    <w:p>
      <w:pPr>
        <w:pStyle w:val="7"/>
        <w:widowControl/>
        <w:ind w:right="0" w:firstLine="720"/>
        <w:jc w:val="both"/>
        <w:rPr>
          <w:rFonts w:hint="default" w:ascii="Times New Roman" w:hAnsi="Times New Roman" w:cs="Times New Roman"/>
          <w:b w:val="0"/>
          <w:sz w:val="28"/>
          <w:szCs w:val="28"/>
        </w:rPr>
      </w:pPr>
      <w:r>
        <w:rPr>
          <w:rFonts w:ascii="Times New Roman" w:hAnsi="Times New Roman" w:cs="Times New Roman"/>
          <w:b w:val="0"/>
          <w:sz w:val="28"/>
          <w:szCs w:val="28"/>
        </w:rPr>
        <w:t xml:space="preserve">2. Настоящее </w:t>
      </w:r>
      <w:r>
        <w:rPr>
          <w:rFonts w:ascii="Times New Roman" w:hAnsi="Times New Roman" w:cs="Times New Roman"/>
          <w:b w:val="0"/>
          <w:sz w:val="28"/>
          <w:szCs w:val="28"/>
          <w:lang w:val="ru-RU"/>
        </w:rPr>
        <w:t>постановление</w:t>
      </w:r>
      <w:r>
        <w:rPr>
          <w:rFonts w:ascii="Times New Roman" w:hAnsi="Times New Roman" w:cs="Times New Roman"/>
          <w:b w:val="0"/>
          <w:sz w:val="28"/>
          <w:szCs w:val="28"/>
        </w:rPr>
        <w:t xml:space="preserve"> вступает в силу после обнародования и подлежит размещению на официальном сайте</w:t>
      </w:r>
      <w:r>
        <w:rPr>
          <w:rFonts w:hint="default" w:ascii="Times New Roman" w:hAnsi="Times New Roman" w:cs="Times New Roman"/>
          <w:b w:val="0"/>
          <w:sz w:val="28"/>
          <w:szCs w:val="28"/>
          <w:lang w:val="ru-RU"/>
        </w:rPr>
        <w:t xml:space="preserve"> </w:t>
      </w:r>
      <w:r>
        <w:rPr>
          <w:rFonts w:hint="default" w:ascii="Times New Roman" w:hAnsi="Times New Roman" w:eastAsia="Calibri" w:cs="Times New Roman"/>
          <w:b w:val="0"/>
          <w:bCs w:val="0"/>
          <w:sz w:val="28"/>
          <w:szCs w:val="28"/>
          <w:lang w:val="ru-RU" w:eastAsia="ar-SA"/>
        </w:rPr>
        <w:t>Администрации Верховского района на странице Песоченского сельского поселения</w:t>
      </w:r>
      <w:r>
        <w:rPr>
          <w:rFonts w:hint="default" w:ascii="Times New Roman" w:hAnsi="Times New Roman" w:eastAsia="Calibri" w:cs="Times New Roman"/>
          <w:b w:val="0"/>
          <w:bCs w:val="0"/>
          <w:sz w:val="28"/>
          <w:szCs w:val="28"/>
          <w:lang w:eastAsia="ar-SA"/>
        </w:rPr>
        <w:t xml:space="preserve"> в сети «Интернет</w:t>
      </w:r>
      <w:r>
        <w:rPr>
          <w:rFonts w:hint="default" w:ascii="Times New Roman" w:hAnsi="Times New Roman" w:eastAsia="Calibri" w:cs="Times New Roman"/>
          <w:b w:val="0"/>
          <w:bCs w:val="0"/>
          <w:sz w:val="28"/>
          <w:szCs w:val="28"/>
          <w:lang w:val="ru-RU" w:eastAsia="ar-SA"/>
        </w:rPr>
        <w:t>».</w:t>
      </w:r>
      <w:r>
        <w:rPr>
          <w:rFonts w:hint="default" w:ascii="Times New Roman" w:hAnsi="Times New Roman" w:cs="Times New Roman"/>
          <w:b w:val="0"/>
          <w:sz w:val="28"/>
          <w:szCs w:val="28"/>
        </w:rPr>
        <w:t xml:space="preserve">  </w:t>
      </w:r>
    </w:p>
    <w:p>
      <w:pPr>
        <w:pStyle w:val="5"/>
        <w:tabs>
          <w:tab w:val="left" w:pos="567"/>
        </w:tabs>
        <w:ind w:right="-113"/>
        <w:rPr>
          <w:sz w:val="28"/>
          <w:szCs w:val="28"/>
          <w:lang w:val="ru-RU"/>
        </w:rPr>
      </w:pPr>
    </w:p>
    <w:p>
      <w:pPr>
        <w:pStyle w:val="5"/>
        <w:tabs>
          <w:tab w:val="left" w:pos="567"/>
        </w:tabs>
        <w:ind w:right="-113"/>
        <w:rPr>
          <w:sz w:val="28"/>
          <w:szCs w:val="28"/>
          <w:lang w:val="ru-RU"/>
        </w:rPr>
      </w:pPr>
    </w:p>
    <w:p>
      <w:pPr>
        <w:pStyle w:val="5"/>
        <w:tabs>
          <w:tab w:val="left" w:pos="567"/>
        </w:tabs>
        <w:ind w:right="-113"/>
        <w:rPr>
          <w:sz w:val="28"/>
          <w:szCs w:val="28"/>
          <w:lang w:val="ru-RU"/>
        </w:rPr>
      </w:pPr>
      <w:r>
        <w:rPr>
          <w:sz w:val="28"/>
          <w:szCs w:val="28"/>
          <w:lang w:val="ru-RU"/>
        </w:rPr>
        <w:t xml:space="preserve">                                                            </w:t>
      </w:r>
    </w:p>
    <w:p>
      <w:pPr>
        <w:pStyle w:val="5"/>
        <w:tabs>
          <w:tab w:val="left" w:pos="567"/>
        </w:tabs>
        <w:ind w:right="-113"/>
        <w:rPr>
          <w:sz w:val="28"/>
          <w:szCs w:val="28"/>
          <w:lang w:val="ru-RU"/>
        </w:rPr>
      </w:pPr>
    </w:p>
    <w:p>
      <w:pPr>
        <w:widowControl/>
        <w:suppressAutoHyphens/>
        <w:autoSpaceDE/>
        <w:autoSpaceDN/>
        <w:adjustRightInd/>
        <w:ind w:firstLine="709"/>
        <w:jc w:val="both"/>
        <w:rPr>
          <w:rFonts w:eastAsia="Calibri"/>
          <w:b/>
          <w:sz w:val="28"/>
          <w:szCs w:val="28"/>
          <w:lang w:eastAsia="ar-SA"/>
        </w:rPr>
      </w:pPr>
      <w:r>
        <w:rPr>
          <w:rFonts w:eastAsia="Calibri"/>
          <w:b/>
          <w:sz w:val="28"/>
          <w:szCs w:val="28"/>
          <w:lang w:eastAsia="ar-SA"/>
        </w:rPr>
        <w:t xml:space="preserve">Глава Песоченского </w:t>
      </w:r>
    </w:p>
    <w:p>
      <w:pPr>
        <w:widowControl/>
        <w:suppressAutoHyphens/>
        <w:autoSpaceDE/>
        <w:autoSpaceDN/>
        <w:adjustRightInd/>
        <w:ind w:firstLine="709"/>
        <w:jc w:val="both"/>
        <w:rPr>
          <w:rFonts w:hint="default" w:eastAsia="Calibri"/>
          <w:b/>
          <w:sz w:val="28"/>
          <w:szCs w:val="28"/>
          <w:lang w:val="ru-RU" w:eastAsia="ar-SA"/>
        </w:rPr>
      </w:pPr>
      <w:r>
        <w:rPr>
          <w:rFonts w:eastAsia="Calibri"/>
          <w:b/>
          <w:sz w:val="28"/>
          <w:szCs w:val="28"/>
          <w:lang w:eastAsia="ar-SA"/>
        </w:rPr>
        <w:t xml:space="preserve">сельского поселения </w:t>
      </w:r>
      <w:r>
        <w:rPr>
          <w:rFonts w:eastAsia="Calibri"/>
          <w:b/>
          <w:sz w:val="28"/>
          <w:szCs w:val="28"/>
          <w:lang w:eastAsia="ar-SA"/>
        </w:rPr>
        <w:tab/>
      </w:r>
      <w:r>
        <w:rPr>
          <w:rFonts w:eastAsia="Calibri"/>
          <w:b/>
          <w:sz w:val="28"/>
          <w:szCs w:val="28"/>
          <w:lang w:eastAsia="ar-SA"/>
        </w:rPr>
        <w:tab/>
      </w:r>
      <w:r>
        <w:rPr>
          <w:rFonts w:eastAsia="Calibri"/>
          <w:b/>
          <w:sz w:val="28"/>
          <w:szCs w:val="28"/>
          <w:lang w:eastAsia="ar-SA"/>
        </w:rPr>
        <w:tab/>
      </w:r>
      <w:r>
        <w:rPr>
          <w:rFonts w:eastAsia="Calibri"/>
          <w:b/>
          <w:sz w:val="28"/>
          <w:szCs w:val="28"/>
          <w:lang w:eastAsia="ar-SA"/>
        </w:rPr>
        <w:tab/>
      </w:r>
      <w:r>
        <w:rPr>
          <w:rFonts w:eastAsia="Calibri"/>
          <w:b/>
          <w:sz w:val="28"/>
          <w:szCs w:val="28"/>
          <w:lang w:eastAsia="ar-SA"/>
        </w:rPr>
        <w:tab/>
      </w:r>
      <w:r>
        <w:rPr>
          <w:rFonts w:eastAsia="Calibri"/>
          <w:b/>
          <w:sz w:val="28"/>
          <w:szCs w:val="28"/>
          <w:lang w:val="ru-RU" w:eastAsia="ar-SA"/>
        </w:rPr>
        <w:t>Л</w:t>
      </w:r>
      <w:r>
        <w:rPr>
          <w:rFonts w:hint="default" w:eastAsia="Calibri"/>
          <w:b/>
          <w:sz w:val="28"/>
          <w:szCs w:val="28"/>
          <w:lang w:val="ru-RU" w:eastAsia="ar-SA"/>
        </w:rPr>
        <w:t>. Н. Селютина</w:t>
      </w:r>
    </w:p>
    <w:p>
      <w:pPr>
        <w:widowControl/>
        <w:suppressAutoHyphens/>
        <w:autoSpaceDE/>
        <w:autoSpaceDN/>
        <w:adjustRightInd/>
        <w:spacing w:before="120"/>
        <w:ind w:firstLine="709"/>
        <w:jc w:val="both"/>
        <w:rPr>
          <w:rFonts w:eastAsia="Calibri"/>
          <w:b/>
          <w:sz w:val="28"/>
          <w:szCs w:val="28"/>
          <w:lang w:eastAsia="ar-SA"/>
        </w:rPr>
      </w:pPr>
    </w:p>
    <w:p>
      <w:pPr>
        <w:pStyle w:val="5"/>
        <w:tabs>
          <w:tab w:val="left" w:pos="567"/>
        </w:tabs>
        <w:ind w:right="-113"/>
        <w:rPr>
          <w:sz w:val="28"/>
          <w:szCs w:val="28"/>
          <w:lang w:val="ru-RU"/>
        </w:rPr>
      </w:pPr>
    </w:p>
    <w:p>
      <w:pPr>
        <w:pStyle w:val="5"/>
        <w:tabs>
          <w:tab w:val="left" w:pos="567"/>
        </w:tabs>
        <w:ind w:right="-113"/>
        <w:rPr>
          <w:sz w:val="28"/>
          <w:szCs w:val="28"/>
          <w:lang w:val="ru-RU"/>
        </w:rPr>
      </w:pPr>
    </w:p>
    <w:p>
      <w:pPr>
        <w:pStyle w:val="5"/>
        <w:tabs>
          <w:tab w:val="left" w:pos="567"/>
        </w:tabs>
        <w:ind w:right="-113"/>
        <w:rPr>
          <w:sz w:val="28"/>
          <w:szCs w:val="28"/>
          <w:lang w:val="ru-RU"/>
        </w:rPr>
      </w:pPr>
    </w:p>
    <w:p>
      <w:pPr>
        <w:pStyle w:val="5"/>
        <w:tabs>
          <w:tab w:val="left" w:pos="567"/>
        </w:tabs>
        <w:ind w:right="-113"/>
        <w:rPr>
          <w:sz w:val="24"/>
          <w:lang w:val="ru-RU"/>
        </w:rPr>
      </w:pPr>
      <w:r>
        <w:rPr>
          <w:sz w:val="24"/>
          <w:lang w:val="ru-RU"/>
        </w:rPr>
        <w:tab/>
      </w:r>
      <w:r>
        <w:rPr>
          <w:sz w:val="24"/>
          <w:lang w:val="ru-RU"/>
        </w:rPr>
        <w:tab/>
      </w:r>
    </w:p>
    <w:p>
      <w:pPr>
        <w:shd w:val="clear" w:color="auto" w:fill="FFFFFF"/>
        <w:ind w:left="6521"/>
        <w:jc w:val="both"/>
        <w:rPr>
          <w:spacing w:val="-13"/>
          <w:sz w:val="28"/>
          <w:szCs w:val="28"/>
        </w:rPr>
      </w:pPr>
      <w:r>
        <w:rPr>
          <w:spacing w:val="-13"/>
          <w:sz w:val="28"/>
          <w:szCs w:val="28"/>
        </w:rPr>
        <w:t xml:space="preserve">Приложение </w:t>
      </w:r>
    </w:p>
    <w:p>
      <w:pPr>
        <w:ind w:left="6521"/>
        <w:jc w:val="both"/>
        <w:rPr>
          <w:rFonts w:hint="default"/>
          <w:sz w:val="28"/>
          <w:szCs w:val="28"/>
          <w:lang w:val="ru-RU"/>
        </w:rPr>
      </w:pPr>
      <w:r>
        <w:rPr>
          <w:rFonts w:hint="default"/>
          <w:spacing w:val="-13"/>
          <w:sz w:val="28"/>
          <w:szCs w:val="28"/>
          <w:lang w:val="ru-RU"/>
        </w:rPr>
        <w:t>к постановлению  от 08.08.2024г. №15</w:t>
      </w:r>
    </w:p>
    <w:p>
      <w:pPr>
        <w:rPr>
          <w:sz w:val="28"/>
          <w:szCs w:val="28"/>
        </w:rPr>
      </w:pPr>
    </w:p>
    <w:p>
      <w:pPr>
        <w:tabs>
          <w:tab w:val="left" w:pos="3349"/>
        </w:tabs>
        <w:jc w:val="center"/>
        <w:rPr>
          <w:rFonts w:hint="default"/>
          <w:b/>
          <w:bCs/>
          <w:sz w:val="28"/>
          <w:szCs w:val="28"/>
          <w:lang w:val="ru-RU"/>
        </w:rPr>
      </w:pPr>
      <w:r>
        <w:rPr>
          <w:b/>
          <w:bCs/>
          <w:sz w:val="28"/>
          <w:szCs w:val="28"/>
        </w:rPr>
        <w:t>Порядок определения размера арендной платы за земельные участки, находящиеся в собственности</w:t>
      </w:r>
      <w:r>
        <w:rPr>
          <w:rFonts w:hint="default"/>
          <w:b/>
          <w:bCs/>
          <w:sz w:val="28"/>
          <w:szCs w:val="28"/>
          <w:lang w:val="ru-RU"/>
        </w:rPr>
        <w:t xml:space="preserve"> Песоченского сельского поселения Верховского района Орловской области.</w:t>
      </w:r>
    </w:p>
    <w:p>
      <w:pPr>
        <w:rPr>
          <w:sz w:val="28"/>
          <w:szCs w:val="28"/>
        </w:rPr>
      </w:pPr>
    </w:p>
    <w:p>
      <w:pPr>
        <w:numPr>
          <w:ilvl w:val="0"/>
          <w:numId w:val="1"/>
        </w:numPr>
        <w:tabs>
          <w:tab w:val="left" w:pos="851"/>
        </w:tabs>
        <w:ind w:left="0" w:firstLine="709"/>
        <w:jc w:val="both"/>
        <w:rPr>
          <w:sz w:val="28"/>
          <w:szCs w:val="28"/>
        </w:rPr>
      </w:pPr>
      <w:r>
        <w:rPr>
          <w:sz w:val="28"/>
          <w:szCs w:val="28"/>
        </w:rPr>
        <w:t xml:space="preserve">Настоящий Порядок определяет способы расчета размера арендной платы за земельные участки, находящиеся в собственности </w:t>
      </w:r>
      <w:r>
        <w:rPr>
          <w:sz w:val="28"/>
          <w:szCs w:val="28"/>
          <w:lang w:val="ru-RU"/>
        </w:rPr>
        <w:t>Песоченского</w:t>
      </w:r>
      <w:r>
        <w:rPr>
          <w:rFonts w:hint="default"/>
          <w:sz w:val="28"/>
          <w:szCs w:val="28"/>
          <w:lang w:val="ru-RU"/>
        </w:rPr>
        <w:t xml:space="preserve"> сельского поселения</w:t>
      </w:r>
    </w:p>
    <w:p>
      <w:pPr>
        <w:numPr>
          <w:ilvl w:val="0"/>
          <w:numId w:val="1"/>
        </w:numPr>
        <w:tabs>
          <w:tab w:val="left" w:pos="709"/>
        </w:tabs>
        <w:ind w:left="0" w:firstLine="709"/>
        <w:jc w:val="both"/>
        <w:rPr>
          <w:sz w:val="28"/>
          <w:szCs w:val="28"/>
        </w:rPr>
      </w:pPr>
      <w:r>
        <w:rPr>
          <w:sz w:val="28"/>
          <w:szCs w:val="28"/>
        </w:rPr>
        <w:t xml:space="preserve">Размер арендной платы при аренде земельных участков, находящихся в собственности </w:t>
      </w:r>
      <w:r>
        <w:rPr>
          <w:sz w:val="28"/>
          <w:szCs w:val="28"/>
          <w:lang w:val="ru-RU"/>
        </w:rPr>
        <w:t>Песоченского</w:t>
      </w:r>
      <w:r>
        <w:rPr>
          <w:rFonts w:hint="default"/>
          <w:sz w:val="28"/>
          <w:szCs w:val="28"/>
          <w:lang w:val="ru-RU"/>
        </w:rPr>
        <w:t xml:space="preserve"> сельского поселения</w:t>
      </w:r>
      <w:r>
        <w:rPr>
          <w:sz w:val="28"/>
          <w:szCs w:val="28"/>
        </w:rPr>
        <w:t xml:space="preserve"> (далее - земельные участки), в расчете на год (далее - арендная плата) определяется, одним из следующих способов:</w:t>
      </w:r>
    </w:p>
    <w:p>
      <w:pPr>
        <w:tabs>
          <w:tab w:val="left" w:pos="851"/>
        </w:tabs>
        <w:ind w:firstLine="709"/>
        <w:jc w:val="both"/>
        <w:rPr>
          <w:sz w:val="28"/>
          <w:szCs w:val="28"/>
        </w:rPr>
      </w:pPr>
      <w:r>
        <w:rPr>
          <w:sz w:val="28"/>
          <w:szCs w:val="28"/>
        </w:rPr>
        <w:t>а) на основании кадастровой стоимости земельных участков;</w:t>
      </w:r>
    </w:p>
    <w:p>
      <w:pPr>
        <w:tabs>
          <w:tab w:val="left" w:pos="851"/>
        </w:tabs>
        <w:ind w:firstLine="709"/>
        <w:rPr>
          <w:sz w:val="28"/>
          <w:szCs w:val="28"/>
        </w:rPr>
      </w:pPr>
      <w:r>
        <w:rPr>
          <w:sz w:val="28"/>
          <w:szCs w:val="28"/>
        </w:rPr>
        <w:t>б) по результатам торгов, проводимых в форме аукциона (далее - торги);</w:t>
      </w:r>
    </w:p>
    <w:p>
      <w:pPr>
        <w:tabs>
          <w:tab w:val="left" w:pos="851"/>
        </w:tabs>
        <w:ind w:firstLine="709"/>
        <w:rPr>
          <w:sz w:val="28"/>
          <w:szCs w:val="28"/>
        </w:rPr>
      </w:pPr>
      <w:r>
        <w:rPr>
          <w:sz w:val="28"/>
          <w:szCs w:val="28"/>
        </w:rPr>
        <w:t>в) в соответствии со ставками арендной платы, утвержденными               Федеральной службой государственной регистрации, кадастра и картографии;</w:t>
      </w:r>
    </w:p>
    <w:p>
      <w:pPr>
        <w:numPr>
          <w:ilvl w:val="0"/>
          <w:numId w:val="1"/>
        </w:numPr>
        <w:tabs>
          <w:tab w:val="left" w:pos="851"/>
        </w:tabs>
        <w:ind w:left="0" w:firstLine="709"/>
        <w:jc w:val="both"/>
        <w:rPr>
          <w:sz w:val="28"/>
          <w:szCs w:val="28"/>
        </w:rPr>
      </w:pPr>
      <w:r>
        <w:rPr>
          <w:sz w:val="28"/>
          <w:szCs w:val="28"/>
        </w:rPr>
        <w:t xml:space="preserve">В случае предоставления земельного участка в аренду без проведения торгов для целей, указанных в настоящем пункте, арендная плата определяется на основании кадастровой стоимости земельного участка и рассчитывается в размере: </w:t>
      </w:r>
    </w:p>
    <w:p>
      <w:pPr>
        <w:tabs>
          <w:tab w:val="left" w:pos="851"/>
        </w:tabs>
        <w:ind w:firstLine="709"/>
        <w:jc w:val="both"/>
        <w:rPr>
          <w:sz w:val="28"/>
          <w:szCs w:val="28"/>
        </w:rPr>
      </w:pPr>
      <w:r>
        <w:rPr>
          <w:sz w:val="28"/>
          <w:szCs w:val="28"/>
        </w:rPr>
        <w:t>а) 0,01 процента в отношении:</w:t>
      </w:r>
    </w:p>
    <w:p>
      <w:pPr>
        <w:tabs>
          <w:tab w:val="left" w:pos="851"/>
        </w:tabs>
        <w:ind w:firstLine="709"/>
        <w:jc w:val="both"/>
        <w:rPr>
          <w:sz w:val="28"/>
          <w:szCs w:val="28"/>
        </w:rPr>
      </w:pPr>
      <w:r>
        <w:rPr>
          <w:sz w:val="28"/>
          <w:szCs w:val="28"/>
        </w:rPr>
        <w:t>-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pPr>
        <w:tabs>
          <w:tab w:val="left" w:pos="851"/>
        </w:tabs>
        <w:ind w:firstLine="709"/>
        <w:jc w:val="both"/>
        <w:rPr>
          <w:sz w:val="28"/>
          <w:szCs w:val="28"/>
        </w:rPr>
      </w:pPr>
      <w:r>
        <w:rPr>
          <w:sz w:val="28"/>
          <w:szCs w:val="28"/>
        </w:rPr>
        <w:t>-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p>
    <w:p>
      <w:pPr>
        <w:tabs>
          <w:tab w:val="left" w:pos="851"/>
        </w:tabs>
        <w:ind w:firstLine="709"/>
        <w:jc w:val="both"/>
        <w:rPr>
          <w:sz w:val="28"/>
          <w:szCs w:val="28"/>
        </w:rPr>
      </w:pPr>
      <w:r>
        <w:rPr>
          <w:sz w:val="28"/>
          <w:szCs w:val="28"/>
        </w:rPr>
        <w:t>-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pPr>
        <w:tabs>
          <w:tab w:val="left" w:pos="851"/>
        </w:tabs>
        <w:ind w:firstLine="709"/>
        <w:jc w:val="both"/>
        <w:rPr>
          <w:sz w:val="28"/>
          <w:szCs w:val="28"/>
        </w:rPr>
      </w:pPr>
      <w:r>
        <w:rPr>
          <w:sz w:val="28"/>
          <w:szCs w:val="28"/>
        </w:rPr>
        <w:t>- земельного участка, изъятого из оборота, если земельный участок в случаях, установленных федеральными законами, может быть передан в аренду;</w:t>
      </w:r>
    </w:p>
    <w:p>
      <w:pPr>
        <w:tabs>
          <w:tab w:val="left" w:pos="851"/>
        </w:tabs>
        <w:ind w:firstLine="709"/>
        <w:jc w:val="both"/>
        <w:rPr>
          <w:sz w:val="28"/>
          <w:szCs w:val="28"/>
        </w:rPr>
      </w:pPr>
      <w:r>
        <w:rPr>
          <w:sz w:val="28"/>
          <w:szCs w:val="28"/>
        </w:rPr>
        <w:t>-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pPr>
        <w:tabs>
          <w:tab w:val="left" w:pos="851"/>
        </w:tabs>
        <w:ind w:firstLine="709"/>
        <w:jc w:val="both"/>
        <w:rPr>
          <w:sz w:val="28"/>
          <w:szCs w:val="28"/>
        </w:rPr>
      </w:pPr>
      <w:r>
        <w:rPr>
          <w:sz w:val="28"/>
          <w:szCs w:val="28"/>
        </w:rPr>
        <w:t>-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pPr>
        <w:tabs>
          <w:tab w:val="left" w:pos="851"/>
        </w:tabs>
        <w:ind w:firstLine="709"/>
        <w:jc w:val="both"/>
        <w:rPr>
          <w:rFonts w:hint="default"/>
          <w:sz w:val="28"/>
          <w:szCs w:val="28"/>
          <w:lang w:val="ru-RU"/>
        </w:rPr>
      </w:pPr>
      <w:r>
        <w:rPr>
          <w:rFonts w:hint="default"/>
          <w:sz w:val="28"/>
          <w:szCs w:val="28"/>
          <w:lang w:val="ru-RU"/>
        </w:rPr>
        <w:t xml:space="preserve">- </w:t>
      </w:r>
      <w:r>
        <w:rPr>
          <w:sz w:val="28"/>
          <w:szCs w:val="28"/>
        </w:rPr>
        <w:t>земельного участка, предоставленного</w:t>
      </w:r>
      <w:r>
        <w:rPr>
          <w:rFonts w:hint="default"/>
          <w:sz w:val="28"/>
          <w:szCs w:val="28"/>
          <w:lang w:val="ru-RU"/>
        </w:rPr>
        <w:t xml:space="preserve"> лицу, с которым заключено концессионное соглашение о создании и эксплуатации инфраструктуры высокоскоростного железнодорожного транспорта общего пользования для осуществления деятельности, предусматриваемой концессионным соглашением.</w:t>
      </w:r>
    </w:p>
    <w:p>
      <w:pPr>
        <w:tabs>
          <w:tab w:val="left" w:pos="851"/>
        </w:tabs>
        <w:ind w:firstLine="709"/>
        <w:jc w:val="both"/>
        <w:rPr>
          <w:sz w:val="28"/>
          <w:szCs w:val="28"/>
        </w:rPr>
      </w:pPr>
      <w:r>
        <w:rPr>
          <w:sz w:val="28"/>
          <w:szCs w:val="28"/>
        </w:rPr>
        <w:t>б) 0,6 процента в отношении:</w:t>
      </w:r>
    </w:p>
    <w:p>
      <w:pPr>
        <w:tabs>
          <w:tab w:val="left" w:pos="851"/>
        </w:tabs>
        <w:ind w:firstLine="709"/>
        <w:jc w:val="both"/>
        <w:rPr>
          <w:sz w:val="28"/>
          <w:szCs w:val="28"/>
        </w:rPr>
      </w:pPr>
      <w:r>
        <w:rPr>
          <w:sz w:val="28"/>
          <w:szCs w:val="28"/>
        </w:rPr>
        <w:t>- земельного участка, предоставленного гражданину для индивидуального жилищного строительства, ведения личного подсобного хозяйства, садоводства, огородничества, сенокошения или выпаса сельскохозяйственных животных;</w:t>
      </w:r>
    </w:p>
    <w:p>
      <w:pPr>
        <w:tabs>
          <w:tab w:val="left" w:pos="851"/>
        </w:tabs>
        <w:ind w:firstLine="709"/>
        <w:jc w:val="both"/>
        <w:rPr>
          <w:rFonts w:hint="default"/>
          <w:sz w:val="28"/>
          <w:szCs w:val="28"/>
          <w:lang w:val="ru-RU"/>
        </w:rPr>
      </w:pPr>
      <w:r>
        <w:rPr>
          <w:rFonts w:hint="default"/>
          <w:sz w:val="28"/>
          <w:szCs w:val="28"/>
          <w:lang w:val="ru-RU"/>
        </w:rPr>
        <w:t xml:space="preserve">- земельного участка, </w:t>
      </w:r>
      <w:r>
        <w:rPr>
          <w:sz w:val="28"/>
          <w:szCs w:val="28"/>
        </w:rPr>
        <w:t>предоставленного</w:t>
      </w:r>
      <w:r>
        <w:rPr>
          <w:rFonts w:hint="default"/>
          <w:sz w:val="28"/>
          <w:szCs w:val="28"/>
          <w:lang w:val="ru-RU"/>
        </w:rPr>
        <w:t xml:space="preserve"> крестьянскому (фермерскому) хозяйству для осуществления крестьянским (фермерским) хозяйством его деятельности;</w:t>
      </w:r>
    </w:p>
    <w:p>
      <w:pPr>
        <w:tabs>
          <w:tab w:val="left" w:pos="851"/>
        </w:tabs>
        <w:ind w:firstLine="709"/>
        <w:jc w:val="both"/>
        <w:rPr>
          <w:rFonts w:hint="default"/>
          <w:sz w:val="28"/>
          <w:szCs w:val="28"/>
          <w:lang w:val="ru-RU"/>
        </w:rPr>
      </w:pPr>
      <w:r>
        <w:rPr>
          <w:rFonts w:hint="default"/>
          <w:sz w:val="28"/>
          <w:szCs w:val="28"/>
          <w:lang w:val="ru-RU"/>
        </w:rPr>
        <w:t>- земельного участка, предназначенного для ведения сельскохозяйственного производства;</w:t>
      </w:r>
    </w:p>
    <w:p>
      <w:pPr>
        <w:tabs>
          <w:tab w:val="left" w:pos="851"/>
        </w:tabs>
        <w:ind w:firstLine="709"/>
        <w:jc w:val="both"/>
        <w:rPr>
          <w:sz w:val="28"/>
          <w:szCs w:val="28"/>
        </w:rPr>
      </w:pPr>
      <w:r>
        <w:rPr>
          <w:sz w:val="28"/>
          <w:szCs w:val="28"/>
        </w:rPr>
        <w:t>- земельного участка, предназначенного для размещения зданий и сооружений, обеспечивающих функционирование организаций средств массовой информации, учрежденных юридическими лицами, которые созданы Российской Федерацией и (или) органами государственной власти Российской Федерации;</w:t>
      </w:r>
    </w:p>
    <w:p>
      <w:pPr>
        <w:tabs>
          <w:tab w:val="left" w:pos="851"/>
        </w:tabs>
        <w:ind w:firstLine="709"/>
        <w:jc w:val="both"/>
        <w:rPr>
          <w:sz w:val="28"/>
          <w:szCs w:val="28"/>
        </w:rPr>
      </w:pPr>
      <w:r>
        <w:rPr>
          <w:sz w:val="28"/>
          <w:szCs w:val="28"/>
        </w:rPr>
        <w:t>в) 1,5 процента в отношении:</w:t>
      </w:r>
    </w:p>
    <w:p>
      <w:pPr>
        <w:tabs>
          <w:tab w:val="left" w:pos="851"/>
        </w:tabs>
        <w:ind w:firstLine="709"/>
        <w:jc w:val="both"/>
        <w:rPr>
          <w:sz w:val="28"/>
          <w:szCs w:val="28"/>
        </w:rPr>
      </w:pPr>
      <w:r>
        <w:rPr>
          <w:sz w:val="28"/>
          <w:szCs w:val="28"/>
        </w:rPr>
        <w:t>- земельного участка в случае заключения договора аренды в соответствии с пунктом 5 статьи 39.7 Земельного кодекса Российской Федерации, но не выше размера земельного налога, рассчитанного в отношении такого земельного участка;</w:t>
      </w:r>
    </w:p>
    <w:p>
      <w:pPr>
        <w:tabs>
          <w:tab w:val="left" w:pos="851"/>
        </w:tabs>
        <w:ind w:firstLine="709"/>
        <w:jc w:val="both"/>
        <w:rPr>
          <w:sz w:val="28"/>
          <w:szCs w:val="28"/>
        </w:rPr>
      </w:pPr>
      <w:r>
        <w:rPr>
          <w:sz w:val="28"/>
          <w:szCs w:val="28"/>
        </w:rPr>
        <w:t>- земельного участка в случаях, не указанных в подпунктах «а» - «б» пункта 3 и пункте 5 настоящего Порядка,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но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pPr>
        <w:tabs>
          <w:tab w:val="left" w:pos="851"/>
        </w:tabs>
        <w:ind w:firstLine="709"/>
        <w:jc w:val="both"/>
        <w:rPr>
          <w:sz w:val="28"/>
          <w:szCs w:val="28"/>
        </w:rPr>
      </w:pPr>
      <w:r>
        <w:rPr>
          <w:sz w:val="28"/>
          <w:szCs w:val="28"/>
        </w:rPr>
        <w:t xml:space="preserve"> г) 2 процентов в отношении:</w:t>
      </w:r>
    </w:p>
    <w:p>
      <w:pPr>
        <w:tabs>
          <w:tab w:val="left" w:pos="851"/>
        </w:tabs>
        <w:ind w:firstLine="709"/>
        <w:jc w:val="both"/>
        <w:rPr>
          <w:sz w:val="28"/>
          <w:szCs w:val="28"/>
        </w:rPr>
      </w:pPr>
      <w:r>
        <w:rPr>
          <w:sz w:val="28"/>
          <w:szCs w:val="28"/>
        </w:rPr>
        <w:t>- земельного участка, предоставленного недропользователю для проведения работ, связанных с пользованием недрами;</w:t>
      </w:r>
    </w:p>
    <w:p>
      <w:pPr>
        <w:tabs>
          <w:tab w:val="left" w:pos="851"/>
        </w:tabs>
        <w:ind w:firstLine="709"/>
        <w:jc w:val="both"/>
        <w:rPr>
          <w:sz w:val="28"/>
          <w:szCs w:val="28"/>
        </w:rPr>
      </w:pPr>
      <w:r>
        <w:rPr>
          <w:sz w:val="28"/>
          <w:szCs w:val="28"/>
        </w:rPr>
        <w:t>- земельного участка, предоставленного без проведения торгов, на котором отсутствуют здания, сооружения, объекты незавершенного строительства, в случаях, не указанных в подпунктах «а» - «в» настоящего пункта.</w:t>
      </w:r>
    </w:p>
    <w:p>
      <w:pPr>
        <w:autoSpaceDE w:val="0"/>
        <w:autoSpaceDN w:val="0"/>
        <w:adjustRightInd w:val="0"/>
        <w:ind w:firstLine="540"/>
        <w:jc w:val="both"/>
        <w:rPr>
          <w:bCs/>
          <w:sz w:val="28"/>
          <w:szCs w:val="28"/>
        </w:rPr>
      </w:pPr>
      <w:r>
        <w:rPr>
          <w:bCs/>
          <w:sz w:val="28"/>
          <w:szCs w:val="28"/>
        </w:rPr>
        <w:t xml:space="preserve">  д) 3 процентов в отношении земельного участка в случаях, не указанных в </w:t>
      </w:r>
      <w:r>
        <w:rPr>
          <w:bCs/>
          <w:sz w:val="28"/>
          <w:szCs w:val="28"/>
        </w:rPr>
        <w:fldChar w:fldCharType="begin"/>
      </w:r>
      <w:r>
        <w:rPr>
          <w:bCs/>
          <w:sz w:val="28"/>
          <w:szCs w:val="28"/>
        </w:rPr>
        <w:instrText xml:space="preserve">HYPERLINK consultantplus://offline/ref=09F24F4B4A33DEEC3730752A8006BB9B0B54B893D66D123B53E20AD85E082F6EFE598AF41B996A57A4842B24E084656569F5926BB5A2A51DQ4X2M </w:instrText>
      </w:r>
      <w:r>
        <w:rPr>
          <w:bCs/>
          <w:sz w:val="28"/>
          <w:szCs w:val="28"/>
        </w:rPr>
        <w:fldChar w:fldCharType="separate"/>
      </w:r>
      <w:r>
        <w:rPr>
          <w:bCs/>
          <w:sz w:val="28"/>
          <w:szCs w:val="28"/>
        </w:rPr>
        <w:t>подпунктах «а</w:t>
      </w:r>
      <w:r>
        <w:rPr>
          <w:bCs/>
          <w:sz w:val="28"/>
          <w:szCs w:val="28"/>
        </w:rPr>
        <w:fldChar w:fldCharType="end"/>
      </w:r>
      <w:r>
        <w:rPr>
          <w:bCs/>
          <w:sz w:val="28"/>
          <w:szCs w:val="28"/>
        </w:rPr>
        <w:t xml:space="preserve">» - </w:t>
      </w:r>
      <w:r>
        <w:rPr>
          <w:bCs/>
          <w:sz w:val="28"/>
          <w:szCs w:val="28"/>
        </w:rPr>
        <w:fldChar w:fldCharType="begin"/>
      </w:r>
      <w:r>
        <w:rPr>
          <w:bCs/>
          <w:sz w:val="28"/>
          <w:szCs w:val="28"/>
        </w:rPr>
        <w:instrText xml:space="preserve">HYPERLINK consultantplus://offline/ref=09F24F4B4A33DEEC3730752A8006BB9B0B54B893D66D123B53E20AD85E082F6EFE598AF71C923E04E9DA7274A7CF686774E9926AQAX8M </w:instrText>
      </w:r>
      <w:r>
        <w:rPr>
          <w:bCs/>
          <w:sz w:val="28"/>
          <w:szCs w:val="28"/>
        </w:rPr>
        <w:fldChar w:fldCharType="separate"/>
      </w:r>
      <w:r>
        <w:rPr>
          <w:bCs/>
          <w:sz w:val="28"/>
          <w:szCs w:val="28"/>
        </w:rPr>
        <w:t>«г</w:t>
      </w:r>
      <w:r>
        <w:rPr>
          <w:bCs/>
          <w:sz w:val="28"/>
          <w:szCs w:val="28"/>
        </w:rPr>
        <w:fldChar w:fldCharType="end"/>
      </w:r>
      <w:r>
        <w:rPr>
          <w:bCs/>
          <w:sz w:val="28"/>
          <w:szCs w:val="28"/>
        </w:rPr>
        <w:t xml:space="preserve">» настоящего пункта и </w:t>
      </w:r>
      <w:r>
        <w:rPr>
          <w:bCs/>
          <w:sz w:val="28"/>
          <w:szCs w:val="28"/>
        </w:rPr>
        <w:fldChar w:fldCharType="begin"/>
      </w:r>
      <w:r>
        <w:rPr>
          <w:bCs/>
          <w:sz w:val="28"/>
          <w:szCs w:val="28"/>
        </w:rPr>
        <w:instrText xml:space="preserve">HYPERLINK consultantplus://offline/ref=09F24F4B4A33DEEC3730752A8006BB9B0B54B893D66D123B53E20AD85E082F6EFE598AF01B923E04E9DA7274A7CF686774E9926AQAX8M </w:instrText>
      </w:r>
      <w:r>
        <w:rPr>
          <w:bCs/>
          <w:sz w:val="28"/>
          <w:szCs w:val="28"/>
        </w:rPr>
        <w:fldChar w:fldCharType="separate"/>
      </w:r>
      <w:r>
        <w:rPr>
          <w:bCs/>
          <w:sz w:val="28"/>
          <w:szCs w:val="28"/>
        </w:rPr>
        <w:t>пункте 5</w:t>
      </w:r>
      <w:r>
        <w:rPr>
          <w:bCs/>
          <w:sz w:val="28"/>
          <w:szCs w:val="28"/>
        </w:rPr>
        <w:fldChar w:fldCharType="end"/>
      </w:r>
      <w:r>
        <w:rPr>
          <w:bCs/>
          <w:sz w:val="28"/>
          <w:szCs w:val="28"/>
        </w:rPr>
        <w:t xml:space="preserve"> настоящего Порядка, на котором расположены здания, сооружения, объекты незавершенного строительства.</w:t>
      </w:r>
    </w:p>
    <w:p>
      <w:pPr>
        <w:autoSpaceDE w:val="0"/>
        <w:autoSpaceDN w:val="0"/>
        <w:adjustRightInd w:val="0"/>
        <w:ind w:firstLine="540"/>
        <w:jc w:val="both"/>
        <w:rPr>
          <w:sz w:val="28"/>
          <w:szCs w:val="28"/>
        </w:rPr>
      </w:pPr>
      <w:r>
        <w:rPr>
          <w:sz w:val="28"/>
          <w:szCs w:val="28"/>
        </w:rPr>
        <w:t>4. В случае заключения договора аренды земельного участка на торгах на право заключения договора аренды земельного участка ежегодный размер арендной платы за земельный участок или размер первого арендного платежа за земельный участок определяется по результатам этих торгов.</w:t>
      </w:r>
    </w:p>
    <w:p>
      <w:pPr>
        <w:autoSpaceDE w:val="0"/>
        <w:autoSpaceDN w:val="0"/>
        <w:adjustRightInd w:val="0"/>
        <w:ind w:firstLine="539"/>
        <w:contextualSpacing/>
        <w:jc w:val="both"/>
        <w:rPr>
          <w:sz w:val="28"/>
          <w:szCs w:val="28"/>
        </w:rPr>
      </w:pPr>
      <w:bookmarkStart w:id="0" w:name="Par0"/>
      <w:bookmarkEnd w:id="0"/>
      <w:r>
        <w:rPr>
          <w:sz w:val="28"/>
          <w:szCs w:val="28"/>
        </w:rPr>
        <w:t>5. Арендная плата рассчитывается в соответствии со ставками арендной платы, утвержденными Федеральной службой государственной регистрации, кадастра и картографии, в отношении земельных участков, которые предоставлены без проведения торгов для размещения:</w:t>
      </w:r>
    </w:p>
    <w:p>
      <w:pPr>
        <w:autoSpaceDE w:val="0"/>
        <w:autoSpaceDN w:val="0"/>
        <w:adjustRightInd w:val="0"/>
        <w:spacing w:before="280"/>
        <w:ind w:firstLine="539"/>
        <w:contextualSpacing/>
        <w:jc w:val="both"/>
        <w:rPr>
          <w:sz w:val="28"/>
          <w:szCs w:val="28"/>
        </w:rPr>
      </w:pPr>
      <w:r>
        <w:rPr>
          <w:sz w:val="28"/>
          <w:szCs w:val="28"/>
        </w:rPr>
        <w:t>-автомобильных дорог, в том числе их конструктивных элементов и дорожных сооружений, производственных объектов (сооружений, используемых при капитальном ремонте, ремонте и содержании автомобильных дорог);</w:t>
      </w:r>
    </w:p>
    <w:p>
      <w:pPr>
        <w:autoSpaceDE w:val="0"/>
        <w:autoSpaceDN w:val="0"/>
        <w:adjustRightInd w:val="0"/>
        <w:spacing w:before="280"/>
        <w:ind w:firstLine="539"/>
        <w:contextualSpacing/>
        <w:jc w:val="both"/>
        <w:rPr>
          <w:sz w:val="28"/>
          <w:szCs w:val="28"/>
        </w:rPr>
      </w:pPr>
      <w:r>
        <w:rPr>
          <w:sz w:val="28"/>
          <w:szCs w:val="28"/>
        </w:rPr>
        <w:t>-линий электропередачи, линий связи, в том числе линейно-кабельных сооружений;</w:t>
      </w:r>
    </w:p>
    <w:p>
      <w:pPr>
        <w:autoSpaceDE w:val="0"/>
        <w:autoSpaceDN w:val="0"/>
        <w:adjustRightInd w:val="0"/>
        <w:spacing w:before="280"/>
        <w:ind w:firstLine="539"/>
        <w:contextualSpacing/>
        <w:jc w:val="both"/>
        <w:rPr>
          <w:sz w:val="28"/>
          <w:szCs w:val="28"/>
        </w:rPr>
      </w:pPr>
      <w:r>
        <w:rPr>
          <w:sz w:val="28"/>
          <w:szCs w:val="28"/>
        </w:rPr>
        <w:t>-трубопроводов и иных объектов, используемых в сфере тепло-, водоснабжения, водоотведения и очистки сточных вод;</w:t>
      </w:r>
    </w:p>
    <w:p>
      <w:pPr>
        <w:autoSpaceDE w:val="0"/>
        <w:autoSpaceDN w:val="0"/>
        <w:adjustRightInd w:val="0"/>
        <w:spacing w:before="280"/>
        <w:ind w:firstLine="539"/>
        <w:contextualSpacing/>
        <w:jc w:val="both"/>
        <w:rPr>
          <w:sz w:val="28"/>
          <w:szCs w:val="28"/>
        </w:rPr>
      </w:pPr>
      <w:r>
        <w:rPr>
          <w:sz w:val="28"/>
          <w:szCs w:val="28"/>
        </w:rPr>
        <w:t>-объектов Единой системы газоснабжения, нефтепроводов, газопроводов и иных трубопроводов аналогичного назначения, их конструктивных элементов и сооружений, являющихся неотъемлемой технологической частью указанных объектов;</w:t>
      </w:r>
    </w:p>
    <w:p>
      <w:pPr>
        <w:autoSpaceDE w:val="0"/>
        <w:autoSpaceDN w:val="0"/>
        <w:adjustRightInd w:val="0"/>
        <w:spacing w:before="280"/>
        <w:ind w:firstLine="539"/>
        <w:contextualSpacing/>
        <w:jc w:val="both"/>
        <w:rPr>
          <w:sz w:val="28"/>
          <w:szCs w:val="28"/>
        </w:rPr>
      </w:pPr>
      <w:r>
        <w:rPr>
          <w:sz w:val="28"/>
          <w:szCs w:val="28"/>
        </w:rPr>
        <w:t xml:space="preserve">-гидроэлектростанций, тепловых станций и других электростанций, обслуживающих их сооружений и объектов, объектов электросетевого хозяйства и иных определенных </w:t>
      </w:r>
      <w:r>
        <w:rPr>
          <w:sz w:val="28"/>
          <w:szCs w:val="28"/>
        </w:rPr>
        <w:fldChar w:fldCharType="begin"/>
      </w:r>
      <w:r>
        <w:rPr>
          <w:sz w:val="28"/>
          <w:szCs w:val="28"/>
        </w:rPr>
        <w:instrText xml:space="preserve">HYPERLINK consultantplus://offline/ref=1EC7B0D546BE042904734783B4977BA4E035D1CABCB0B47408A28FFA6BD3D60CB4EA1C0ECAD5C69A2066F84EC5BBA2D8B22DE4CD9D602C74YD11M </w:instrText>
      </w:r>
      <w:r>
        <w:rPr>
          <w:sz w:val="28"/>
          <w:szCs w:val="28"/>
        </w:rPr>
        <w:fldChar w:fldCharType="separate"/>
      </w:r>
      <w:r>
        <w:rPr>
          <w:sz w:val="28"/>
          <w:szCs w:val="28"/>
        </w:rPr>
        <w:t>законодательством</w:t>
      </w:r>
      <w:r>
        <w:rPr>
          <w:sz w:val="28"/>
          <w:szCs w:val="28"/>
        </w:rPr>
        <w:fldChar w:fldCharType="end"/>
      </w:r>
      <w:r>
        <w:rPr>
          <w:sz w:val="28"/>
          <w:szCs w:val="28"/>
        </w:rPr>
        <w:t xml:space="preserve"> Российской Федерации об электроэнергетике объектов электроэнергетики;</w:t>
      </w:r>
    </w:p>
    <w:p>
      <w:pPr>
        <w:autoSpaceDE w:val="0"/>
        <w:autoSpaceDN w:val="0"/>
        <w:adjustRightInd w:val="0"/>
        <w:spacing w:before="280"/>
        <w:ind w:firstLine="539"/>
        <w:contextualSpacing/>
        <w:jc w:val="both"/>
        <w:rPr>
          <w:sz w:val="28"/>
          <w:szCs w:val="28"/>
        </w:rPr>
      </w:pPr>
      <w:r>
        <w:rPr>
          <w:sz w:val="28"/>
          <w:szCs w:val="28"/>
        </w:rPr>
        <w:t>-сети связи и объектов инженерной инфраструктуры, обеспечивающих эфирную наземную трансляцию общероссийских обязательных общедоступных телеканалов и радиоканалов;</w:t>
      </w:r>
    </w:p>
    <w:p>
      <w:pPr>
        <w:autoSpaceDE w:val="0"/>
        <w:autoSpaceDN w:val="0"/>
        <w:adjustRightInd w:val="0"/>
        <w:spacing w:before="280"/>
        <w:ind w:firstLine="539"/>
        <w:contextualSpacing/>
        <w:jc w:val="both"/>
        <w:rPr>
          <w:sz w:val="28"/>
          <w:szCs w:val="28"/>
        </w:rPr>
      </w:pPr>
      <w:r>
        <w:rPr>
          <w:sz w:val="28"/>
          <w:szCs w:val="28"/>
        </w:rPr>
        <w:t>Ставки арендной платы в отношении указанных земельных участков утверждаются Федеральной службой государственной регистрации, кадастра и картографии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соответствующих отраслях экономики.</w:t>
      </w:r>
    </w:p>
    <w:p>
      <w:pPr>
        <w:autoSpaceDE w:val="0"/>
        <w:autoSpaceDN w:val="0"/>
        <w:adjustRightInd w:val="0"/>
        <w:ind w:firstLine="539"/>
        <w:contextualSpacing/>
        <w:jc w:val="both"/>
        <w:rPr>
          <w:sz w:val="28"/>
          <w:szCs w:val="28"/>
        </w:rPr>
      </w:pPr>
      <w:r>
        <w:rPr>
          <w:sz w:val="28"/>
          <w:szCs w:val="28"/>
        </w:rPr>
        <w:t xml:space="preserve">5(1). 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размер арендной платы, рассчитанный в соответствии с </w:t>
      </w:r>
      <w:r>
        <w:rPr>
          <w:sz w:val="28"/>
          <w:szCs w:val="28"/>
        </w:rPr>
        <w:fldChar w:fldCharType="begin"/>
      </w:r>
      <w:r>
        <w:rPr>
          <w:sz w:val="28"/>
          <w:szCs w:val="28"/>
        </w:rPr>
        <w:instrText xml:space="preserve">HYPERLINK \l Par0  </w:instrText>
      </w:r>
      <w:r>
        <w:rPr>
          <w:sz w:val="28"/>
          <w:szCs w:val="28"/>
        </w:rPr>
        <w:fldChar w:fldCharType="separate"/>
      </w:r>
      <w:r>
        <w:rPr>
          <w:sz w:val="28"/>
          <w:szCs w:val="28"/>
        </w:rPr>
        <w:t>пунктом 5</w:t>
      </w:r>
      <w:r>
        <w:rPr>
          <w:sz w:val="28"/>
          <w:szCs w:val="28"/>
        </w:rPr>
        <w:fldChar w:fldCharType="end"/>
      </w:r>
      <w:r>
        <w:rPr>
          <w:sz w:val="28"/>
          <w:szCs w:val="28"/>
        </w:rPr>
        <w:t xml:space="preserve"> настоящего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p>
      <w:pPr>
        <w:autoSpaceDE w:val="0"/>
        <w:autoSpaceDN w:val="0"/>
        <w:adjustRightInd w:val="0"/>
        <w:ind w:firstLine="540"/>
        <w:jc w:val="both"/>
        <w:rPr>
          <w:color w:val="auto"/>
          <w:sz w:val="28"/>
          <w:szCs w:val="28"/>
        </w:rPr>
      </w:pPr>
      <w:r>
        <w:rPr>
          <w:color w:val="auto"/>
          <w:sz w:val="28"/>
          <w:szCs w:val="28"/>
        </w:rPr>
        <w:t>5(2). Размер арендной платы в отношении земельных участков, предоставленных без проведения торгов для размещения объектов социально-культурного назначения, строительство и эксплуатация которых осуществляются за счет средств федерального бюджета в целях реализации программ социально-экономического развития Ор</w:t>
      </w:r>
      <w:r>
        <w:rPr>
          <w:color w:val="auto"/>
          <w:sz w:val="28"/>
          <w:szCs w:val="28"/>
          <w:lang w:val="ru-RU"/>
        </w:rPr>
        <w:t>ловской</w:t>
      </w:r>
      <w:r>
        <w:rPr>
          <w:color w:val="auto"/>
          <w:sz w:val="28"/>
          <w:szCs w:val="28"/>
        </w:rPr>
        <w:t xml:space="preserve"> области,  а также национальных проектов, может устанавливаться Правительством Ор</w:t>
      </w:r>
      <w:r>
        <w:rPr>
          <w:color w:val="auto"/>
          <w:sz w:val="28"/>
          <w:szCs w:val="28"/>
          <w:lang w:val="ru-RU"/>
        </w:rPr>
        <w:t>ловской</w:t>
      </w:r>
      <w:r>
        <w:rPr>
          <w:color w:val="auto"/>
          <w:sz w:val="28"/>
          <w:szCs w:val="28"/>
        </w:rPr>
        <w:t xml:space="preserve"> области на основании предложений Федеральной службы государственной регистрации, кадастра и картографии.</w:t>
      </w:r>
    </w:p>
    <w:p>
      <w:pPr>
        <w:numPr>
          <w:ilvl w:val="0"/>
          <w:numId w:val="2"/>
        </w:numPr>
        <w:tabs>
          <w:tab w:val="left" w:pos="851"/>
        </w:tabs>
        <w:ind w:left="0" w:firstLine="709"/>
        <w:jc w:val="both"/>
        <w:rPr>
          <w:sz w:val="28"/>
          <w:szCs w:val="28"/>
        </w:rPr>
      </w:pPr>
      <w:r>
        <w:rPr>
          <w:sz w:val="28"/>
          <w:szCs w:val="28"/>
        </w:rPr>
        <w:t>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 земельным законодательством Российской Федерации.</w:t>
      </w:r>
    </w:p>
    <w:p>
      <w:pPr>
        <w:numPr>
          <w:ilvl w:val="0"/>
          <w:numId w:val="2"/>
        </w:numPr>
        <w:tabs>
          <w:tab w:val="left" w:pos="851"/>
        </w:tabs>
        <w:ind w:left="0" w:firstLine="709"/>
        <w:jc w:val="both"/>
        <w:rPr>
          <w:sz w:val="28"/>
          <w:szCs w:val="28"/>
        </w:rPr>
      </w:pPr>
      <w:r>
        <w:rPr>
          <w:sz w:val="28"/>
          <w:szCs w:val="28"/>
        </w:rPr>
        <w:t xml:space="preserve">При заключении договора аренды земельного участка администрация </w:t>
      </w:r>
      <w:r>
        <w:rPr>
          <w:sz w:val="28"/>
          <w:szCs w:val="28"/>
          <w:lang w:val="ru-RU"/>
        </w:rPr>
        <w:t>Песоченского</w:t>
      </w:r>
      <w:r>
        <w:rPr>
          <w:rFonts w:hint="default"/>
          <w:sz w:val="28"/>
          <w:szCs w:val="28"/>
          <w:lang w:val="ru-RU"/>
        </w:rPr>
        <w:t xml:space="preserve"> сельского поселения</w:t>
      </w:r>
      <w:r>
        <w:rPr>
          <w:sz w:val="28"/>
          <w:szCs w:val="28"/>
        </w:rPr>
        <w:t xml:space="preserve"> предусматривает в таком договоре случаи и периодичность изменения арендной платы за пользование земельным участком. При этом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w:t>
      </w:r>
    </w:p>
    <w:p>
      <w:pPr>
        <w:numPr>
          <w:ilvl w:val="0"/>
          <w:numId w:val="2"/>
        </w:numPr>
        <w:tabs>
          <w:tab w:val="left" w:pos="851"/>
        </w:tabs>
        <w:ind w:left="0" w:firstLine="709"/>
        <w:jc w:val="both"/>
        <w:rPr>
          <w:sz w:val="28"/>
          <w:szCs w:val="28"/>
        </w:rPr>
      </w:pPr>
      <w:r>
        <w:rPr>
          <w:sz w:val="28"/>
          <w:szCs w:val="28"/>
        </w:rPr>
        <w:t xml:space="preserve">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w:t>
      </w:r>
      <w:r>
        <w:rPr>
          <w:sz w:val="28"/>
          <w:szCs w:val="28"/>
          <w:lang w:val="ru-RU"/>
        </w:rPr>
        <w:t>Песоченское</w:t>
      </w:r>
      <w:r>
        <w:rPr>
          <w:rFonts w:hint="default"/>
          <w:sz w:val="28"/>
          <w:szCs w:val="28"/>
          <w:lang w:val="ru-RU"/>
        </w:rPr>
        <w:t xml:space="preserve"> сельское поселение</w:t>
      </w:r>
      <w:r>
        <w:rPr>
          <w:sz w:val="28"/>
          <w:szCs w:val="28"/>
        </w:rPr>
        <w:t xml:space="preserve"> предусматривают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индексация арендной платы с учетом размера уровня инфляции, указанного в пункте 8 настоящего Порядка, не проводится.</w:t>
      </w:r>
    </w:p>
    <w:p>
      <w:pPr>
        <w:numPr>
          <w:ilvl w:val="0"/>
          <w:numId w:val="2"/>
        </w:numPr>
        <w:tabs>
          <w:tab w:val="left" w:pos="851"/>
        </w:tabs>
        <w:ind w:left="0" w:firstLine="709"/>
        <w:jc w:val="both"/>
        <w:rPr>
          <w:sz w:val="28"/>
          <w:szCs w:val="28"/>
        </w:rPr>
      </w:pPr>
      <w:r>
        <w:rPr>
          <w:sz w:val="28"/>
          <w:szCs w:val="28"/>
        </w:rPr>
        <w:t xml:space="preserve">В случае уточнения предусмотренных пунктами 3 и 5 </w:t>
      </w:r>
      <w:bookmarkStart w:id="1" w:name="_Hlk129623685"/>
      <w:r>
        <w:rPr>
          <w:sz w:val="28"/>
          <w:szCs w:val="28"/>
        </w:rPr>
        <w:t xml:space="preserve">настоящего Порядка </w:t>
      </w:r>
      <w:bookmarkEnd w:id="1"/>
      <w:r>
        <w:rPr>
          <w:sz w:val="28"/>
          <w:szCs w:val="28"/>
        </w:rPr>
        <w:t>условий, в соответствии с которыми определяется размер арендной платы за земельный участок, арендная плата подлежит перерасчету по состоянию на 1 января года, следующего за годом, в котором произошло изменение указанных условий. В этом случае предусмотренное абзацем первым настоящего пункта положение об изменении арендодателем в одностороннем порядке арендной платы на размер уровня инфляции, установленного в федеральном законе о федеральном бюджете на очередной финансовый год и плановый период, не применяется. В случае если на стороне арендатора выступают несколько лиц,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pPr>
        <w:numPr>
          <w:ilvl w:val="0"/>
          <w:numId w:val="2"/>
        </w:numPr>
        <w:tabs>
          <w:tab w:val="left" w:pos="851"/>
        </w:tabs>
        <w:ind w:left="0" w:leftChars="0" w:firstLine="709" w:firstLineChars="0"/>
        <w:jc w:val="both"/>
        <w:rPr>
          <w:rFonts w:hint="default"/>
          <w:sz w:val="28"/>
          <w:szCs w:val="28"/>
          <w:lang w:val="ru-RU"/>
        </w:rPr>
      </w:pPr>
      <w:r>
        <w:rPr>
          <w:rFonts w:hint="default"/>
          <w:sz w:val="28"/>
          <w:szCs w:val="28"/>
          <w:lang w:val="ru-RU"/>
        </w:rPr>
        <w:t>В случае если на стороне арендатора выступают несколько лиц,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pPr>
        <w:numPr>
          <w:ilvl w:val="0"/>
          <w:numId w:val="2"/>
        </w:numPr>
        <w:tabs>
          <w:tab w:val="left" w:pos="851"/>
        </w:tabs>
        <w:ind w:left="0" w:leftChars="0" w:firstLine="709" w:firstLineChars="0"/>
        <w:jc w:val="both"/>
        <w:rPr>
          <w:rFonts w:hint="default"/>
          <w:sz w:val="28"/>
          <w:szCs w:val="28"/>
          <w:lang w:val="ru-RU"/>
        </w:rPr>
      </w:pPr>
      <w:r>
        <w:rPr>
          <w:rFonts w:hint="default"/>
          <w:sz w:val="28"/>
          <w:szCs w:val="28"/>
          <w:lang w:val="ru-RU"/>
        </w:rPr>
        <w:t>При заключении договора аренды земельного участка арендная плата перечисляется не реже 1 раза в полгода в безналичной форме на счета территориальных органов Федерального казначейства для ее распределения указанными территориальными органами в соответствии с бюджетным законодательством Российской Федерации.</w:t>
      </w:r>
    </w:p>
    <w:p>
      <w:pPr>
        <w:rPr>
          <w:sz w:val="28"/>
          <w:szCs w:val="28"/>
        </w:rPr>
      </w:pPr>
    </w:p>
    <w:sectPr>
      <w:footerReference r:id="rId3" w:type="default"/>
      <w:pgSz w:w="11906" w:h="16838"/>
      <w:pgMar w:top="851" w:right="851" w:bottom="1134" w:left="1701" w:header="0" w:footer="0"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ind w:right="14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245C24"/>
    <w:multiLevelType w:val="multilevel"/>
    <w:tmpl w:val="61245C2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E730B3F"/>
    <w:multiLevelType w:val="multilevel"/>
    <w:tmpl w:val="6E730B3F"/>
    <w:lvl w:ilvl="0" w:tentative="0">
      <w:start w:val="6"/>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912673"/>
    <w:rsid w:val="24912673"/>
    <w:rsid w:val="27C623AF"/>
    <w:rsid w:val="559C4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Body Text"/>
    <w:basedOn w:val="1"/>
    <w:qFormat/>
    <w:uiPriority w:val="0"/>
    <w:pPr>
      <w:jc w:val="both"/>
    </w:pPr>
    <w:rPr>
      <w:sz w:val="28"/>
    </w:rPr>
  </w:style>
  <w:style w:type="paragraph" w:styleId="6">
    <w:name w:val="Normal (Web)"/>
    <w:basedOn w:val="1"/>
    <w:uiPriority w:val="0"/>
    <w:rPr>
      <w:sz w:val="24"/>
      <w:szCs w:val="24"/>
    </w:rPr>
  </w:style>
  <w:style w:type="paragraph" w:customStyle="1" w:styleId="7">
    <w:name w:val="ConsTitle"/>
    <w:qFormat/>
    <w:uiPriority w:val="0"/>
    <w:pPr>
      <w:widowControl w:val="0"/>
      <w:autoSpaceDE w:val="0"/>
      <w:autoSpaceDN w:val="0"/>
      <w:adjustRightInd w:val="0"/>
      <w:ind w:right="19772"/>
    </w:pPr>
    <w:rPr>
      <w:rFonts w:ascii="Arial" w:hAnsi="Arial" w:eastAsia="Times New Roman" w:cs="Arial"/>
      <w:b/>
      <w:bCs/>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2024-09-09T11:08:00Z</dcterms:created>
  <dc:creator>admin_pesochnoe</dc:creator>
  <cp:lastModifiedBy>admin_pesochnoe</cp:lastModifiedBy>
  <cp:lastPrinted>2024-09-09T13:05:18Z</cp:lastPrinted>
  <dcterms:modified xsi:type="dcterms:W3CDTF">2024-09-09T13:05:55Z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1049-11.2.0.11074</vt:lpwstr>
  </property>
  <property fmtid="{D5CDD505-2E9C-101B-9397-08002B2CF9AE}" pid="3" name="ICV">
    <vt:lpwstr>E0140B3FBD7D4C489FCE40AD65DB5285</vt:lpwstr>
  </property>
</Properties>
</file>