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B8" w:rsidRPr="00B45EB8" w:rsidRDefault="00B45EB8" w:rsidP="00B45EB8">
      <w:pPr>
        <w:spacing w:after="6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0"/>
          <w:lang w:eastAsia="ru-RU"/>
        </w:rPr>
      </w:pPr>
      <w:bookmarkStart w:id="0" w:name="_GoBack"/>
      <w:r w:rsidRPr="00B45EB8">
        <w:rPr>
          <w:rFonts w:ascii="Tahoma" w:eastAsia="Times New Roman" w:hAnsi="Tahoma" w:cs="Tahoma"/>
          <w:b/>
          <w:bCs/>
          <w:color w:val="000000" w:themeColor="text1"/>
          <w:sz w:val="24"/>
          <w:szCs w:val="20"/>
          <w:lang w:eastAsia="ru-RU"/>
        </w:rPr>
        <w:t>Более 19 тысяч семей в Орловской области получают ежемесячную денежную выплату на ребенка от 3 до 7 лет включительно</w:t>
      </w:r>
    </w:p>
    <w:bookmarkEnd w:id="0"/>
    <w:p w:rsidR="00B45EB8" w:rsidRPr="00B45EB8" w:rsidRDefault="00B45EB8" w:rsidP="00B45EB8">
      <w:pPr>
        <w:spacing w:after="75" w:line="240" w:lineRule="auto"/>
        <w:rPr>
          <w:rFonts w:ascii="Arial" w:eastAsia="Times New Roman" w:hAnsi="Arial" w:cs="Arial"/>
          <w:color w:val="000000" w:themeColor="text1"/>
          <w:szCs w:val="18"/>
          <w:lang w:eastAsia="ru-RU"/>
        </w:rPr>
      </w:pPr>
      <w:r w:rsidRPr="00B45EB8">
        <w:rPr>
          <w:rFonts w:ascii="Arial" w:eastAsia="Times New Roman" w:hAnsi="Arial" w:cs="Arial"/>
          <w:noProof/>
          <w:color w:val="000000" w:themeColor="text1"/>
          <w:szCs w:val="18"/>
          <w:lang w:eastAsia="ru-RU"/>
        </w:rPr>
        <w:drawing>
          <wp:inline distT="0" distB="0" distL="0" distR="0" wp14:anchorId="6859AE1D" wp14:editId="537989B7">
            <wp:extent cx="2124075" cy="1266825"/>
            <wp:effectExtent l="0" t="0" r="9525" b="9525"/>
            <wp:docPr id="1" name="Рисунок 1" descr="https://orel-region.ru/files/upload/95174p.jpg">
              <a:hlinkClick xmlns:a="http://schemas.openxmlformats.org/drawingml/2006/main" r:id="rId5" tooltip="&quot; // http://ливенскаягазета.р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5174p.jpg">
                      <a:hlinkClick r:id="rId5" tooltip="&quot; // http://ливенскаягазета.р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B8" w:rsidRPr="00B45EB8" w:rsidRDefault="00B45EB8" w:rsidP="00B45EB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 w:themeColor="text1"/>
          <w:szCs w:val="18"/>
          <w:lang w:eastAsia="ru-RU"/>
        </w:rPr>
      </w:pPr>
      <w:r w:rsidRPr="00B45EB8">
        <w:rPr>
          <w:rFonts w:ascii="Tahoma" w:eastAsia="Times New Roman" w:hAnsi="Tahoma" w:cs="Tahoma"/>
          <w:color w:val="000000" w:themeColor="text1"/>
          <w:szCs w:val="18"/>
          <w:lang w:eastAsia="ru-RU"/>
        </w:rPr>
        <w:t>На эти цели израсходовано более 1,5 млрд рублей.</w:t>
      </w:r>
    </w:p>
    <w:p w:rsidR="00B45EB8" w:rsidRPr="00B45EB8" w:rsidRDefault="00B45EB8" w:rsidP="00B45EB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 w:themeColor="text1"/>
          <w:szCs w:val="18"/>
          <w:lang w:eastAsia="ru-RU"/>
        </w:rPr>
      </w:pPr>
      <w:r w:rsidRPr="00B45EB8">
        <w:rPr>
          <w:rFonts w:ascii="Tahoma" w:eastAsia="Times New Roman" w:hAnsi="Tahoma" w:cs="Tahoma"/>
          <w:color w:val="000000" w:themeColor="text1"/>
          <w:szCs w:val="18"/>
          <w:lang w:eastAsia="ru-RU"/>
        </w:rPr>
        <w:t>10 марта 2021 года Президент России Владимир Путин подписал указ о ранжировании выплаты на детей от трех до семи лет включительно для малообеспеченных семей.</w:t>
      </w:r>
    </w:p>
    <w:p w:rsidR="00B45EB8" w:rsidRPr="00B45EB8" w:rsidRDefault="00B45EB8" w:rsidP="00B45EB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 w:themeColor="text1"/>
          <w:szCs w:val="18"/>
          <w:lang w:eastAsia="ru-RU"/>
        </w:rPr>
      </w:pPr>
      <w:r w:rsidRPr="00B45EB8">
        <w:rPr>
          <w:rFonts w:ascii="Tahoma" w:eastAsia="Times New Roman" w:hAnsi="Tahoma" w:cs="Tahoma"/>
          <w:color w:val="000000" w:themeColor="text1"/>
          <w:szCs w:val="18"/>
          <w:lang w:eastAsia="ru-RU"/>
        </w:rPr>
        <w:t>В соответствии с Указом с 2021 года размер выплаты будет варьироваться в зависимости от доходов и имущественной обеспеченности семьи. Размер ежемесячной выплаты на детей от трех до семи лет включительно может составлять 50, 75 или 100% регионального прожиточного минимума на детей.</w:t>
      </w:r>
    </w:p>
    <w:p w:rsidR="00B45EB8" w:rsidRPr="00B45EB8" w:rsidRDefault="00B45EB8" w:rsidP="00B45EB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 w:themeColor="text1"/>
          <w:szCs w:val="18"/>
          <w:lang w:eastAsia="ru-RU"/>
        </w:rPr>
      </w:pPr>
      <w:r w:rsidRPr="00B45EB8">
        <w:rPr>
          <w:rFonts w:ascii="Tahoma" w:eastAsia="Times New Roman" w:hAnsi="Tahoma" w:cs="Tahoma"/>
          <w:color w:val="000000" w:themeColor="text1"/>
          <w:szCs w:val="18"/>
          <w:lang w:eastAsia="ru-RU"/>
        </w:rPr>
        <w:t>Если сейчас всем семьям, которые имеют доход ниже прожиточного минимума, ежемесячная выплата перечисляется в одинаковом (базовом) размере – 50% от регионального прожиточного минимума на детей, то теперь она будет назначаться более адресно, включая оценку доходов семьи и имущественную обеспеченность граждан.</w:t>
      </w:r>
    </w:p>
    <w:p w:rsidR="00B45EB8" w:rsidRPr="00B45EB8" w:rsidRDefault="00B45EB8" w:rsidP="00B45EB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 w:themeColor="text1"/>
          <w:szCs w:val="18"/>
          <w:lang w:eastAsia="ru-RU"/>
        </w:rPr>
      </w:pPr>
      <w:r w:rsidRPr="00B45EB8">
        <w:rPr>
          <w:rFonts w:ascii="Tahoma" w:eastAsia="Times New Roman" w:hAnsi="Tahoma" w:cs="Tahoma"/>
          <w:color w:val="000000" w:themeColor="text1"/>
          <w:szCs w:val="18"/>
          <w:lang w:eastAsia="ru-RU"/>
        </w:rPr>
        <w:t>Если при выплате в базовом размере среднедушевой доход семьи не достигнет регионального прожиточного минимума на душу населения, то выплата будет назначаться в размере 75%. Если же и в этом случае среднедушевой доход семьи не достигает регионального прожиточного минимума на душу населения, то выплата назначается в размере 100%.</w:t>
      </w:r>
    </w:p>
    <w:p w:rsidR="00B45EB8" w:rsidRPr="00B45EB8" w:rsidRDefault="00B45EB8" w:rsidP="00B45EB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 w:themeColor="text1"/>
          <w:szCs w:val="18"/>
          <w:lang w:eastAsia="ru-RU"/>
        </w:rPr>
      </w:pPr>
      <w:r w:rsidRPr="00B45EB8">
        <w:rPr>
          <w:rFonts w:ascii="Tahoma" w:eastAsia="Times New Roman" w:hAnsi="Tahoma" w:cs="Tahoma"/>
          <w:color w:val="000000" w:themeColor="text1"/>
          <w:szCs w:val="18"/>
          <w:lang w:eastAsia="ru-RU"/>
        </w:rPr>
        <w:t>Правительству РФ и регионам страны в ближайшее время предстоит утвердить правила предоставления выплаты, а также условия выплаты, перечень сведений, которые могут запрашивать органы социальной защиты из государственных информационных систем и у гражданина для назначения выплаты.</w:t>
      </w:r>
    </w:p>
    <w:p w:rsidR="00B45EB8" w:rsidRPr="00B45EB8" w:rsidRDefault="00B45EB8" w:rsidP="00B45EB8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 w:themeColor="text1"/>
          <w:szCs w:val="18"/>
          <w:lang w:eastAsia="ru-RU"/>
        </w:rPr>
      </w:pPr>
      <w:r w:rsidRPr="00B45EB8">
        <w:rPr>
          <w:rFonts w:ascii="Tahoma" w:eastAsia="Times New Roman" w:hAnsi="Tahoma" w:cs="Tahoma"/>
          <w:color w:val="000000" w:themeColor="text1"/>
          <w:szCs w:val="18"/>
          <w:lang w:eastAsia="ru-RU"/>
        </w:rPr>
        <w:t>При этом будет сохранен простой способ получения выплаты: по одному заявлению, поданному в электронном виде через портал госуслуг, либо в органы соцзащиты или в МФЦ.</w:t>
      </w:r>
    </w:p>
    <w:p w:rsidR="0020242A" w:rsidRPr="00B45EB8" w:rsidRDefault="0020242A">
      <w:pPr>
        <w:rPr>
          <w:color w:val="000000" w:themeColor="text1"/>
          <w:sz w:val="28"/>
        </w:rPr>
      </w:pPr>
    </w:p>
    <w:sectPr w:rsidR="0020242A" w:rsidRPr="00B4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B8"/>
    <w:rsid w:val="0020242A"/>
    <w:rsid w:val="00B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00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75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9517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2021-03-23T12:32:00Z</dcterms:created>
  <dcterms:modified xsi:type="dcterms:W3CDTF">2021-03-23T12:32:00Z</dcterms:modified>
</cp:coreProperties>
</file>