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7D" w:rsidRDefault="003F553A">
      <w:pPr>
        <w:widowControl/>
        <w:textAlignment w:val="auto"/>
      </w:pPr>
      <w:bookmarkStart w:id="0" w:name="_GoBack"/>
      <w:bookmarkEnd w:id="0"/>
      <w:r>
        <w:rPr>
          <w:rFonts w:eastAsia="Times New Roman" w:cs="Times New Roman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19046</wp:posOffset>
            </wp:positionH>
            <wp:positionV relativeFrom="paragraph">
              <wp:posOffset>9528</wp:posOffset>
            </wp:positionV>
            <wp:extent cx="711202" cy="585472"/>
            <wp:effectExtent l="0" t="0" r="0" b="5078"/>
            <wp:wrapSquare wrapText="largest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2" cy="585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>Государственное учреждение - Орловское региональное отделение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 xml:space="preserve">         Фонда социального страхования Российской Федерации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       </w:t>
      </w:r>
    </w:p>
    <w:p w:rsidR="001F697D" w:rsidRDefault="003F553A">
      <w:pPr>
        <w:widowControl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302030, г. Орел, ул. Степана </w:t>
      </w:r>
      <w:r>
        <w:rPr>
          <w:rFonts w:eastAsia="Calibri" w:cs="Times New Roman"/>
          <w:kern w:val="0"/>
          <w:sz w:val="22"/>
          <w:szCs w:val="22"/>
          <w:lang w:eastAsia="zh-CN"/>
        </w:rPr>
        <w:t>Разина, д. 5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         тел.: (4862) 54-80-80 (приемная), 54-80-94 (пресс-служба)</w:t>
      </w:r>
    </w:p>
    <w:p w:rsidR="001F697D" w:rsidRDefault="001F697D">
      <w:pPr>
        <w:widowControl/>
        <w:pBdr>
          <w:bottom w:val="single" w:sz="8" w:space="2" w:color="000000"/>
        </w:pBdr>
        <w:spacing w:line="247" w:lineRule="auto"/>
        <w:ind w:firstLine="709"/>
        <w:textAlignment w:val="auto"/>
        <w:rPr>
          <w:rFonts w:eastAsia="Calibri" w:cs="Times New Roman"/>
          <w:kern w:val="0"/>
          <w:sz w:val="22"/>
          <w:szCs w:val="22"/>
          <w:lang w:eastAsia="zh-CN"/>
        </w:rPr>
      </w:pPr>
    </w:p>
    <w:p w:rsidR="001F697D" w:rsidRDefault="003F553A">
      <w:pPr>
        <w:widowControl/>
        <w:spacing w:line="247" w:lineRule="auto"/>
        <w:ind w:firstLine="709"/>
        <w:jc w:val="right"/>
        <w:textAlignment w:val="auto"/>
      </w:pPr>
      <w:r>
        <w:rPr>
          <w:rFonts w:eastAsia="Calibri" w:cs="Times New Roman"/>
          <w:bCs/>
          <w:i/>
          <w:kern w:val="0"/>
          <w:sz w:val="22"/>
          <w:szCs w:val="22"/>
          <w:lang w:eastAsia="zh-CN"/>
        </w:rPr>
        <w:t>Пресс-</w:t>
      </w:r>
      <w:r>
        <w:rPr>
          <w:rFonts w:eastAsia="Times New Roman" w:cs="Times New Roman"/>
          <w:bCs/>
          <w:i/>
          <w:kern w:val="0"/>
          <w:sz w:val="22"/>
          <w:szCs w:val="22"/>
        </w:rPr>
        <w:t>релиз</w:t>
      </w:r>
    </w:p>
    <w:p w:rsidR="001F697D" w:rsidRDefault="001F697D">
      <w:pPr>
        <w:widowControl/>
        <w:spacing w:after="160" w:line="247" w:lineRule="auto"/>
        <w:textAlignment w:val="auto"/>
        <w:rPr>
          <w:rFonts w:eastAsia="Times New Roman" w:cs="Times New Roman"/>
          <w:b/>
          <w:bCs/>
          <w:kern w:val="0"/>
        </w:rPr>
      </w:pPr>
    </w:p>
    <w:p w:rsidR="001F697D" w:rsidRDefault="003F553A">
      <w:pPr>
        <w:widowControl/>
        <w:spacing w:line="360" w:lineRule="auto"/>
        <w:ind w:firstLine="709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Орловское ФСС направило 120 млн рублей на обеспечение льготников</w:t>
      </w:r>
    </w:p>
    <w:p w:rsidR="001F697D" w:rsidRDefault="001F697D">
      <w:pPr>
        <w:widowControl/>
        <w:spacing w:line="360" w:lineRule="auto"/>
        <w:ind w:firstLine="709"/>
        <w:jc w:val="both"/>
        <w:textAlignment w:val="auto"/>
        <w:rPr>
          <w:b/>
          <w:bCs/>
          <w:sz w:val="26"/>
          <w:szCs w:val="26"/>
        </w:rPr>
      </w:pPr>
    </w:p>
    <w:p w:rsidR="001F697D" w:rsidRDefault="003F553A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эти деньги заключено около 30 контрактов на предоставление более 2,2 млн технических средств </w:t>
      </w:r>
      <w:r>
        <w:rPr>
          <w:bCs/>
          <w:sz w:val="26"/>
          <w:szCs w:val="26"/>
        </w:rPr>
        <w:t>реабилитации, изделий и услуг в рамках обеспечения граждан льготных категорий в 2021 году.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Среди закупленных ТСР - 1,6 млн штук абсорбирующего белья и подгузников, более 3,1 тысяч протезно-ортопедических изделий, 692 слуховых аппарата и вкладыша к ним, око</w:t>
      </w:r>
      <w:r>
        <w:rPr>
          <w:bCs/>
          <w:sz w:val="26"/>
          <w:szCs w:val="26"/>
        </w:rPr>
        <w:t>ло 570 специальных средств при нарушении функций выделения, 554 кресел-колясок различной модификации (взрослых и детских).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Также отделение Фонда закупило для граждан льготных категорий трости, костыли, ходунки, опоры, поручни, противопролежневые матрацы и </w:t>
      </w:r>
      <w:r>
        <w:rPr>
          <w:bCs/>
          <w:sz w:val="26"/>
          <w:szCs w:val="26"/>
        </w:rPr>
        <w:t>специальные телефоны. А нуждающимся предоставят услуги сурдоперевода и ремонта товаров и услуг.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Чтобы получить положенное техническое средство реабилитации или протезно-ортопедическое изделие, льготнику необходимо встать на учет в Орловском региональном от</w:t>
      </w:r>
      <w:r>
        <w:rPr>
          <w:bCs/>
          <w:sz w:val="26"/>
          <w:szCs w:val="26"/>
        </w:rPr>
        <w:t>делении Фонда социального страхования, предоставив заявление, действующую индивидуальную программу реабилитации или абилитации инвалида и необходимые документы (паспорт, СНИЛС).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Сделать это можно в Центре клиентского обслуживания Фонда социального страхова</w:t>
      </w:r>
      <w:r>
        <w:rPr>
          <w:bCs/>
          <w:sz w:val="26"/>
          <w:szCs w:val="26"/>
        </w:rPr>
        <w:t xml:space="preserve">ния по адресу: г. Орел, ул. Степана Разина, д.3 с понедельника по пятницу, согласно графику работы регионального отделения Фонда. Также оказать данную услугу заявителю могут в любом филиале МФЦ, расположенном на территории Орловской области. 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</w:pPr>
      <w:r>
        <w:rPr>
          <w:bCs/>
          <w:sz w:val="26"/>
          <w:szCs w:val="26"/>
        </w:rPr>
        <w:t xml:space="preserve">В условиях </w:t>
      </w:r>
      <w:r>
        <w:rPr>
          <w:bCs/>
          <w:sz w:val="26"/>
          <w:szCs w:val="26"/>
        </w:rPr>
        <w:t xml:space="preserve">пандемии Орловское ФСС советует гражданам подавать заявление и необходимые документы в электронном виде через Единый портал государственных и муниципальных услуг </w:t>
      </w:r>
      <w:hyperlink r:id="rId8" w:history="1">
        <w:r>
          <w:rPr>
            <w:rStyle w:val="a5"/>
            <w:bCs/>
            <w:sz w:val="26"/>
            <w:szCs w:val="26"/>
          </w:rPr>
          <w:t>www.gosuslugi.ru</w:t>
        </w:r>
      </w:hyperlink>
      <w:r>
        <w:rPr>
          <w:bCs/>
          <w:sz w:val="26"/>
          <w:szCs w:val="26"/>
        </w:rPr>
        <w:t>. Это безопасно, оперативно и экономи</w:t>
      </w:r>
      <w:r>
        <w:rPr>
          <w:bCs/>
          <w:sz w:val="26"/>
          <w:szCs w:val="26"/>
        </w:rPr>
        <w:t>т личное время заявителя.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</w:t>
      </w:r>
    </w:p>
    <w:p w:rsidR="001F697D" w:rsidRDefault="003F553A">
      <w:pPr>
        <w:widowControl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</w:rPr>
        <w:t>Информация Орловского регионального отделения Фонда</w:t>
      </w:r>
    </w:p>
    <w:p w:rsidR="001F697D" w:rsidRDefault="001F697D">
      <w:pPr>
        <w:pStyle w:val="Standard"/>
      </w:pPr>
    </w:p>
    <w:sectPr w:rsidR="001F697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3A" w:rsidRDefault="003F553A">
      <w:r>
        <w:separator/>
      </w:r>
    </w:p>
  </w:endnote>
  <w:endnote w:type="continuationSeparator" w:id="0">
    <w:p w:rsidR="003F553A" w:rsidRDefault="003F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3A" w:rsidRDefault="003F553A">
      <w:r>
        <w:rPr>
          <w:color w:val="000000"/>
        </w:rPr>
        <w:separator/>
      </w:r>
    </w:p>
  </w:footnote>
  <w:footnote w:type="continuationSeparator" w:id="0">
    <w:p w:rsidR="003F553A" w:rsidRDefault="003F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97D"/>
    <w:rsid w:val="001F697D"/>
    <w:rsid w:val="003F553A"/>
    <w:rsid w:val="00B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2021-02-19T09:22:00Z</dcterms:created>
  <dcterms:modified xsi:type="dcterms:W3CDTF">2021-02-19T09:22:00Z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